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1A" w:rsidRDefault="006A5D1A">
      <w:pPr>
        <w:spacing w:before="2" w:after="0" w:line="100" w:lineRule="exact"/>
        <w:rPr>
          <w:sz w:val="10"/>
          <w:szCs w:val="10"/>
        </w:rPr>
      </w:pPr>
    </w:p>
    <w:p w:rsidR="006A5D1A" w:rsidRDefault="006A5D1A">
      <w:pPr>
        <w:spacing w:after="0" w:line="200" w:lineRule="exact"/>
        <w:rPr>
          <w:sz w:val="20"/>
          <w:szCs w:val="20"/>
        </w:rPr>
      </w:pPr>
    </w:p>
    <w:p w:rsidR="006A5D1A" w:rsidRDefault="00416922">
      <w:pPr>
        <w:spacing w:after="0" w:line="240" w:lineRule="auto"/>
        <w:ind w:right="-20"/>
        <w:jc w:val="right"/>
        <w:rPr>
          <w:rFonts w:ascii="Calibri" w:eastAsia="Calibri" w:hAnsi="Calibri" w:cs="Calibri"/>
          <w:sz w:val="20"/>
          <w:szCs w:val="20"/>
        </w:rPr>
      </w:pPr>
      <w:r>
        <w:rPr>
          <w:rFonts w:ascii="Calibri" w:eastAsia="Calibri" w:hAnsi="Calibri" w:cs="Calibri"/>
          <w:b/>
          <w:bCs/>
          <w:color w:val="003D70"/>
          <w:sz w:val="20"/>
          <w:szCs w:val="20"/>
        </w:rPr>
        <w:t>1</w:t>
      </w:r>
      <w:r>
        <w:rPr>
          <w:rFonts w:ascii="Calibri" w:eastAsia="Calibri" w:hAnsi="Calibri" w:cs="Calibri"/>
          <w:b/>
          <w:bCs/>
          <w:color w:val="003D70"/>
          <w:spacing w:val="-1"/>
          <w:sz w:val="20"/>
          <w:szCs w:val="20"/>
        </w:rPr>
        <w:t>1</w:t>
      </w:r>
      <w:r>
        <w:rPr>
          <w:rFonts w:ascii="Calibri" w:eastAsia="Calibri" w:hAnsi="Calibri" w:cs="Calibri"/>
          <w:b/>
          <w:bCs/>
          <w:color w:val="003D70"/>
          <w:sz w:val="20"/>
          <w:szCs w:val="20"/>
        </w:rPr>
        <w:t>3</w:t>
      </w:r>
      <w:r>
        <w:rPr>
          <w:rFonts w:ascii="Calibri" w:eastAsia="Calibri" w:hAnsi="Calibri" w:cs="Calibri"/>
          <w:b/>
          <w:bCs/>
          <w:color w:val="003D70"/>
          <w:spacing w:val="1"/>
          <w:sz w:val="20"/>
          <w:szCs w:val="20"/>
        </w:rPr>
        <w:t xml:space="preserve"> </w:t>
      </w:r>
      <w:r>
        <w:rPr>
          <w:rFonts w:ascii="Calibri" w:eastAsia="Calibri" w:hAnsi="Calibri" w:cs="Calibri"/>
          <w:b/>
          <w:bCs/>
          <w:color w:val="003D70"/>
          <w:sz w:val="20"/>
          <w:szCs w:val="20"/>
        </w:rPr>
        <w:t>Harding</w:t>
      </w:r>
      <w:r>
        <w:rPr>
          <w:rFonts w:ascii="Calibri" w:eastAsia="Calibri" w:hAnsi="Calibri" w:cs="Calibri"/>
          <w:b/>
          <w:bCs/>
          <w:color w:val="003D70"/>
          <w:spacing w:val="-2"/>
          <w:sz w:val="20"/>
          <w:szCs w:val="20"/>
        </w:rPr>
        <w:t xml:space="preserve"> </w:t>
      </w:r>
      <w:r>
        <w:rPr>
          <w:rFonts w:ascii="Calibri" w:eastAsia="Calibri" w:hAnsi="Calibri" w:cs="Calibri"/>
          <w:b/>
          <w:bCs/>
          <w:color w:val="003D70"/>
          <w:sz w:val="20"/>
          <w:szCs w:val="20"/>
        </w:rPr>
        <w:t xml:space="preserve">Way </w:t>
      </w:r>
      <w:r>
        <w:rPr>
          <w:rFonts w:ascii="Calibri" w:eastAsia="Calibri" w:hAnsi="Calibri" w:cs="Calibri"/>
          <w:b/>
          <w:bCs/>
          <w:color w:val="003D70"/>
          <w:spacing w:val="-1"/>
          <w:sz w:val="20"/>
          <w:szCs w:val="20"/>
        </w:rPr>
        <w:t>Ea</w:t>
      </w:r>
      <w:r>
        <w:rPr>
          <w:rFonts w:ascii="Calibri" w:eastAsia="Calibri" w:hAnsi="Calibri" w:cs="Calibri"/>
          <w:b/>
          <w:bCs/>
          <w:color w:val="003D70"/>
          <w:spacing w:val="1"/>
          <w:sz w:val="20"/>
          <w:szCs w:val="20"/>
        </w:rPr>
        <w:t>s</w:t>
      </w:r>
      <w:r>
        <w:rPr>
          <w:rFonts w:ascii="Calibri" w:eastAsia="Calibri" w:hAnsi="Calibri" w:cs="Calibri"/>
          <w:b/>
          <w:bCs/>
          <w:color w:val="003D70"/>
          <w:sz w:val="20"/>
          <w:szCs w:val="20"/>
        </w:rPr>
        <w:t>t</w:t>
      </w:r>
    </w:p>
    <w:p w:rsidR="006A5D1A" w:rsidRDefault="00416922">
      <w:pPr>
        <w:spacing w:after="0" w:line="240" w:lineRule="exact"/>
        <w:ind w:right="206"/>
        <w:jc w:val="right"/>
        <w:rPr>
          <w:rFonts w:ascii="Calibri" w:eastAsia="Calibri" w:hAnsi="Calibri" w:cs="Calibri"/>
          <w:sz w:val="20"/>
          <w:szCs w:val="20"/>
        </w:rPr>
      </w:pPr>
      <w:r>
        <w:rPr>
          <w:rFonts w:ascii="Calibri" w:eastAsia="Calibri" w:hAnsi="Calibri" w:cs="Calibri"/>
          <w:b/>
          <w:bCs/>
          <w:color w:val="003D70"/>
          <w:sz w:val="20"/>
          <w:szCs w:val="20"/>
        </w:rPr>
        <w:t xml:space="preserve">Galion, </w:t>
      </w:r>
      <w:r>
        <w:rPr>
          <w:rFonts w:ascii="Calibri" w:eastAsia="Calibri" w:hAnsi="Calibri" w:cs="Calibri"/>
          <w:b/>
          <w:bCs/>
          <w:color w:val="003D70"/>
          <w:spacing w:val="-1"/>
          <w:sz w:val="20"/>
          <w:szCs w:val="20"/>
        </w:rPr>
        <w:t>O</w:t>
      </w:r>
      <w:r>
        <w:rPr>
          <w:rFonts w:ascii="Calibri" w:eastAsia="Calibri" w:hAnsi="Calibri" w:cs="Calibri"/>
          <w:b/>
          <w:bCs/>
          <w:color w:val="003D70"/>
          <w:sz w:val="20"/>
          <w:szCs w:val="20"/>
        </w:rPr>
        <w:t>hio</w:t>
      </w:r>
      <w:r>
        <w:rPr>
          <w:rFonts w:ascii="Calibri" w:eastAsia="Calibri" w:hAnsi="Calibri" w:cs="Calibri"/>
          <w:b/>
          <w:bCs/>
          <w:color w:val="003D70"/>
          <w:spacing w:val="-1"/>
          <w:sz w:val="20"/>
          <w:szCs w:val="20"/>
        </w:rPr>
        <w:t xml:space="preserve"> 4</w:t>
      </w:r>
      <w:r>
        <w:rPr>
          <w:rFonts w:ascii="Calibri" w:eastAsia="Calibri" w:hAnsi="Calibri" w:cs="Calibri"/>
          <w:b/>
          <w:bCs/>
          <w:color w:val="003D70"/>
          <w:sz w:val="20"/>
          <w:szCs w:val="20"/>
        </w:rPr>
        <w:t>4</w:t>
      </w:r>
      <w:r>
        <w:rPr>
          <w:rFonts w:ascii="Calibri" w:eastAsia="Calibri" w:hAnsi="Calibri" w:cs="Calibri"/>
          <w:b/>
          <w:bCs/>
          <w:color w:val="003D70"/>
          <w:spacing w:val="-1"/>
          <w:sz w:val="20"/>
          <w:szCs w:val="20"/>
        </w:rPr>
        <w:t>8</w:t>
      </w:r>
      <w:r>
        <w:rPr>
          <w:rFonts w:ascii="Calibri" w:eastAsia="Calibri" w:hAnsi="Calibri" w:cs="Calibri"/>
          <w:b/>
          <w:bCs/>
          <w:color w:val="003D70"/>
          <w:spacing w:val="1"/>
          <w:sz w:val="20"/>
          <w:szCs w:val="20"/>
        </w:rPr>
        <w:t>3</w:t>
      </w:r>
      <w:r>
        <w:rPr>
          <w:rFonts w:ascii="Calibri" w:eastAsia="Calibri" w:hAnsi="Calibri" w:cs="Calibri"/>
          <w:b/>
          <w:bCs/>
          <w:color w:val="003D70"/>
          <w:sz w:val="20"/>
          <w:szCs w:val="20"/>
        </w:rPr>
        <w:t>3</w:t>
      </w:r>
    </w:p>
    <w:p w:rsidR="006A5D1A" w:rsidRDefault="00416922">
      <w:pPr>
        <w:spacing w:before="52" w:after="0" w:line="240" w:lineRule="auto"/>
        <w:ind w:right="-20"/>
        <w:rPr>
          <w:rFonts w:ascii="Calibri" w:eastAsia="Calibri" w:hAnsi="Calibri" w:cs="Calibri"/>
          <w:sz w:val="20"/>
          <w:szCs w:val="20"/>
        </w:rPr>
      </w:pPr>
      <w:r>
        <w:br w:type="column"/>
      </w:r>
      <w:r>
        <w:rPr>
          <w:rFonts w:ascii="Calibri" w:eastAsia="Calibri" w:hAnsi="Calibri" w:cs="Calibri"/>
          <w:b/>
          <w:bCs/>
          <w:color w:val="003D70"/>
          <w:sz w:val="20"/>
          <w:szCs w:val="20"/>
        </w:rPr>
        <w:lastRenderedPageBreak/>
        <w:t>Ph</w:t>
      </w:r>
      <w:r>
        <w:rPr>
          <w:rFonts w:ascii="Calibri" w:eastAsia="Calibri" w:hAnsi="Calibri" w:cs="Calibri"/>
          <w:b/>
          <w:bCs/>
          <w:color w:val="003D70"/>
          <w:spacing w:val="-1"/>
          <w:sz w:val="20"/>
          <w:szCs w:val="20"/>
        </w:rPr>
        <w:t>o</w:t>
      </w:r>
      <w:r>
        <w:rPr>
          <w:rFonts w:ascii="Calibri" w:eastAsia="Calibri" w:hAnsi="Calibri" w:cs="Calibri"/>
          <w:b/>
          <w:bCs/>
          <w:color w:val="003D70"/>
          <w:spacing w:val="1"/>
          <w:sz w:val="20"/>
          <w:szCs w:val="20"/>
        </w:rPr>
        <w:t>n</w:t>
      </w:r>
      <w:r>
        <w:rPr>
          <w:rFonts w:ascii="Calibri" w:eastAsia="Calibri" w:hAnsi="Calibri" w:cs="Calibri"/>
          <w:b/>
          <w:bCs/>
          <w:color w:val="003D70"/>
          <w:sz w:val="20"/>
          <w:szCs w:val="20"/>
        </w:rPr>
        <w:t xml:space="preserve">e   </w:t>
      </w:r>
      <w:r>
        <w:rPr>
          <w:rFonts w:ascii="Calibri" w:eastAsia="Calibri" w:hAnsi="Calibri" w:cs="Calibri"/>
          <w:b/>
          <w:bCs/>
          <w:color w:val="003D70"/>
          <w:spacing w:val="9"/>
          <w:sz w:val="20"/>
          <w:szCs w:val="20"/>
        </w:rPr>
        <w:t xml:space="preserve"> </w:t>
      </w:r>
      <w:r>
        <w:rPr>
          <w:rFonts w:ascii="Calibri" w:eastAsia="Calibri" w:hAnsi="Calibri" w:cs="Calibri"/>
          <w:b/>
          <w:bCs/>
          <w:color w:val="003D70"/>
          <w:sz w:val="20"/>
          <w:szCs w:val="20"/>
        </w:rPr>
        <w:t>4</w:t>
      </w:r>
      <w:r>
        <w:rPr>
          <w:rFonts w:ascii="Calibri" w:eastAsia="Calibri" w:hAnsi="Calibri" w:cs="Calibri"/>
          <w:b/>
          <w:bCs/>
          <w:color w:val="003D70"/>
          <w:spacing w:val="-1"/>
          <w:sz w:val="20"/>
          <w:szCs w:val="20"/>
        </w:rPr>
        <w:t>1</w:t>
      </w:r>
      <w:r>
        <w:rPr>
          <w:rFonts w:ascii="Calibri" w:eastAsia="Calibri" w:hAnsi="Calibri" w:cs="Calibri"/>
          <w:b/>
          <w:bCs/>
          <w:color w:val="003D70"/>
          <w:sz w:val="20"/>
          <w:szCs w:val="20"/>
        </w:rPr>
        <w:t>9</w:t>
      </w:r>
      <w:r>
        <w:rPr>
          <w:rFonts w:ascii="Calibri" w:eastAsia="Calibri" w:hAnsi="Calibri" w:cs="Calibri"/>
          <w:b/>
          <w:bCs/>
          <w:color w:val="003D70"/>
          <w:spacing w:val="-1"/>
          <w:sz w:val="20"/>
          <w:szCs w:val="20"/>
        </w:rPr>
        <w:t>.</w:t>
      </w:r>
      <w:r>
        <w:rPr>
          <w:rFonts w:ascii="Calibri" w:eastAsia="Calibri" w:hAnsi="Calibri" w:cs="Calibri"/>
          <w:b/>
          <w:bCs/>
          <w:color w:val="003D70"/>
          <w:sz w:val="20"/>
          <w:szCs w:val="20"/>
        </w:rPr>
        <w:t>4</w:t>
      </w:r>
      <w:r>
        <w:rPr>
          <w:rFonts w:ascii="Calibri" w:eastAsia="Calibri" w:hAnsi="Calibri" w:cs="Calibri"/>
          <w:b/>
          <w:bCs/>
          <w:color w:val="003D70"/>
          <w:spacing w:val="-1"/>
          <w:sz w:val="20"/>
          <w:szCs w:val="20"/>
        </w:rPr>
        <w:t>6</w:t>
      </w:r>
      <w:r>
        <w:rPr>
          <w:rFonts w:ascii="Calibri" w:eastAsia="Calibri" w:hAnsi="Calibri" w:cs="Calibri"/>
          <w:b/>
          <w:bCs/>
          <w:color w:val="003D70"/>
          <w:sz w:val="20"/>
          <w:szCs w:val="20"/>
        </w:rPr>
        <w:t>8</w:t>
      </w:r>
      <w:r>
        <w:rPr>
          <w:rFonts w:ascii="Calibri" w:eastAsia="Calibri" w:hAnsi="Calibri" w:cs="Calibri"/>
          <w:b/>
          <w:bCs/>
          <w:color w:val="003D70"/>
          <w:spacing w:val="-1"/>
          <w:sz w:val="20"/>
          <w:szCs w:val="20"/>
        </w:rPr>
        <w:t>.</w:t>
      </w:r>
      <w:r>
        <w:rPr>
          <w:rFonts w:ascii="Calibri" w:eastAsia="Calibri" w:hAnsi="Calibri" w:cs="Calibri"/>
          <w:b/>
          <w:bCs/>
          <w:color w:val="003D70"/>
          <w:sz w:val="20"/>
          <w:szCs w:val="20"/>
        </w:rPr>
        <w:t>1</w:t>
      </w:r>
      <w:r>
        <w:rPr>
          <w:rFonts w:ascii="Calibri" w:eastAsia="Calibri" w:hAnsi="Calibri" w:cs="Calibri"/>
          <w:b/>
          <w:bCs/>
          <w:color w:val="003D70"/>
          <w:spacing w:val="-1"/>
          <w:sz w:val="20"/>
          <w:szCs w:val="20"/>
        </w:rPr>
        <w:t>0</w:t>
      </w:r>
      <w:r>
        <w:rPr>
          <w:rFonts w:ascii="Calibri" w:eastAsia="Calibri" w:hAnsi="Calibri" w:cs="Calibri"/>
          <w:b/>
          <w:bCs/>
          <w:color w:val="003D70"/>
          <w:sz w:val="20"/>
          <w:szCs w:val="20"/>
        </w:rPr>
        <w:t>75</w:t>
      </w:r>
    </w:p>
    <w:p w:rsidR="006A5D1A" w:rsidRDefault="00416922">
      <w:pPr>
        <w:tabs>
          <w:tab w:val="left" w:pos="720"/>
        </w:tabs>
        <w:spacing w:before="1" w:after="0" w:line="239" w:lineRule="auto"/>
        <w:ind w:right="55"/>
        <w:rPr>
          <w:rFonts w:ascii="Calibri" w:eastAsia="Calibri" w:hAnsi="Calibri" w:cs="Calibri"/>
          <w:sz w:val="20"/>
          <w:szCs w:val="20"/>
        </w:rPr>
      </w:pPr>
      <w:r>
        <w:rPr>
          <w:rFonts w:ascii="Calibri" w:eastAsia="Calibri" w:hAnsi="Calibri" w:cs="Calibri"/>
          <w:b/>
          <w:bCs/>
          <w:color w:val="003D70"/>
          <w:sz w:val="20"/>
          <w:szCs w:val="20"/>
        </w:rPr>
        <w:t>Fax</w:t>
      </w:r>
      <w:r>
        <w:rPr>
          <w:rFonts w:ascii="Calibri" w:eastAsia="Calibri" w:hAnsi="Calibri" w:cs="Calibri"/>
          <w:b/>
          <w:bCs/>
          <w:color w:val="003D70"/>
          <w:sz w:val="20"/>
          <w:szCs w:val="20"/>
        </w:rPr>
        <w:tab/>
        <w:t>4</w:t>
      </w:r>
      <w:r>
        <w:rPr>
          <w:rFonts w:ascii="Calibri" w:eastAsia="Calibri" w:hAnsi="Calibri" w:cs="Calibri"/>
          <w:b/>
          <w:bCs/>
          <w:color w:val="003D70"/>
          <w:spacing w:val="-1"/>
          <w:sz w:val="20"/>
          <w:szCs w:val="20"/>
        </w:rPr>
        <w:t>1</w:t>
      </w:r>
      <w:r>
        <w:rPr>
          <w:rFonts w:ascii="Calibri" w:eastAsia="Calibri" w:hAnsi="Calibri" w:cs="Calibri"/>
          <w:b/>
          <w:bCs/>
          <w:color w:val="003D70"/>
          <w:sz w:val="20"/>
          <w:szCs w:val="20"/>
        </w:rPr>
        <w:t>9</w:t>
      </w:r>
      <w:r>
        <w:rPr>
          <w:rFonts w:ascii="Calibri" w:eastAsia="Calibri" w:hAnsi="Calibri" w:cs="Calibri"/>
          <w:b/>
          <w:bCs/>
          <w:color w:val="003D70"/>
          <w:spacing w:val="-1"/>
          <w:sz w:val="20"/>
          <w:szCs w:val="20"/>
        </w:rPr>
        <w:t>.</w:t>
      </w:r>
      <w:r>
        <w:rPr>
          <w:rFonts w:ascii="Calibri" w:eastAsia="Calibri" w:hAnsi="Calibri" w:cs="Calibri"/>
          <w:b/>
          <w:bCs/>
          <w:color w:val="003D70"/>
          <w:sz w:val="20"/>
          <w:szCs w:val="20"/>
        </w:rPr>
        <w:t>4</w:t>
      </w:r>
      <w:r>
        <w:rPr>
          <w:rFonts w:ascii="Calibri" w:eastAsia="Calibri" w:hAnsi="Calibri" w:cs="Calibri"/>
          <w:b/>
          <w:bCs/>
          <w:color w:val="003D70"/>
          <w:spacing w:val="-1"/>
          <w:sz w:val="20"/>
          <w:szCs w:val="20"/>
        </w:rPr>
        <w:t>6</w:t>
      </w:r>
      <w:r>
        <w:rPr>
          <w:rFonts w:ascii="Calibri" w:eastAsia="Calibri" w:hAnsi="Calibri" w:cs="Calibri"/>
          <w:b/>
          <w:bCs/>
          <w:color w:val="003D70"/>
          <w:sz w:val="20"/>
          <w:szCs w:val="20"/>
        </w:rPr>
        <w:t>8</w:t>
      </w:r>
      <w:r>
        <w:rPr>
          <w:rFonts w:ascii="Calibri" w:eastAsia="Calibri" w:hAnsi="Calibri" w:cs="Calibri"/>
          <w:b/>
          <w:bCs/>
          <w:color w:val="003D70"/>
          <w:spacing w:val="-1"/>
          <w:sz w:val="20"/>
          <w:szCs w:val="20"/>
        </w:rPr>
        <w:t>.</w:t>
      </w:r>
      <w:r>
        <w:rPr>
          <w:rFonts w:ascii="Calibri" w:eastAsia="Calibri" w:hAnsi="Calibri" w:cs="Calibri"/>
          <w:b/>
          <w:bCs/>
          <w:color w:val="003D70"/>
          <w:sz w:val="20"/>
          <w:szCs w:val="20"/>
        </w:rPr>
        <w:t>8</w:t>
      </w:r>
      <w:r>
        <w:rPr>
          <w:rFonts w:ascii="Calibri" w:eastAsia="Calibri" w:hAnsi="Calibri" w:cs="Calibri"/>
          <w:b/>
          <w:bCs/>
          <w:color w:val="003D70"/>
          <w:spacing w:val="-1"/>
          <w:sz w:val="20"/>
          <w:szCs w:val="20"/>
        </w:rPr>
        <w:t>6</w:t>
      </w:r>
      <w:r>
        <w:rPr>
          <w:rFonts w:ascii="Calibri" w:eastAsia="Calibri" w:hAnsi="Calibri" w:cs="Calibri"/>
          <w:b/>
          <w:bCs/>
          <w:color w:val="003D70"/>
          <w:sz w:val="20"/>
          <w:szCs w:val="20"/>
        </w:rPr>
        <w:t>18</w:t>
      </w:r>
      <w:hyperlink r:id="rId7">
        <w:r>
          <w:rPr>
            <w:rFonts w:ascii="Calibri" w:eastAsia="Calibri" w:hAnsi="Calibri" w:cs="Calibri"/>
            <w:b/>
            <w:bCs/>
            <w:color w:val="003D70"/>
            <w:sz w:val="20"/>
            <w:szCs w:val="20"/>
          </w:rPr>
          <w:t xml:space="preserve"> www.galionhealth.org</w:t>
        </w:r>
      </w:hyperlink>
    </w:p>
    <w:p w:rsidR="006A5D1A" w:rsidRDefault="006A5D1A">
      <w:pPr>
        <w:spacing w:after="0"/>
        <w:sectPr w:rsidR="006A5D1A">
          <w:footerReference w:type="default" r:id="rId8"/>
          <w:type w:val="continuous"/>
          <w:pgSz w:w="12240" w:h="15840"/>
          <w:pgMar w:top="520" w:right="760" w:bottom="280" w:left="1320" w:header="720" w:footer="720" w:gutter="0"/>
          <w:cols w:num="2" w:space="720" w:equalWidth="0">
            <w:col w:w="7412" w:space="769"/>
            <w:col w:w="1979"/>
          </w:cols>
        </w:sectPr>
      </w:pPr>
    </w:p>
    <w:p w:rsidR="006A5D1A" w:rsidRDefault="00401701">
      <w:pPr>
        <w:spacing w:after="0" w:line="200" w:lineRule="exact"/>
        <w:rPr>
          <w:sz w:val="20"/>
          <w:szCs w:val="20"/>
        </w:rPr>
      </w:pPr>
      <w:r w:rsidRPr="00401701">
        <w:lastRenderedPageBreak/>
        <w:pict>
          <v:group id="_x0000_s1030" style="position:absolute;margin-left:21.65pt;margin-top:21.55pt;width:568.65pt;height:54.2pt;z-index:-251659776;mso-position-horizontal-relative:page;mso-position-vertical-relative:page" coordorigin="433,431" coordsize="11373,1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916;top:431;width:1611;height:994">
              <v:imagedata r:id="rId9" o:title=""/>
            </v:shape>
            <v:group id="_x0000_s1031" style="position:absolute;left:443;top:1350;width:11353;height:155" coordorigin="443,1350" coordsize="11353,155">
              <v:shape id="_x0000_s1032" style="position:absolute;left:443;top:1350;width:11353;height:155" coordorigin="443,1350" coordsize="11353,155" path="m443,1505r11353,l11796,1350r-11353,l443,1505e" fillcolor="#5bc4bf" stroked="f">
                <v:path arrowok="t"/>
              </v:shape>
            </v:group>
            <w10:wrap anchorx="page" anchory="page"/>
          </v:group>
        </w:pict>
      </w:r>
    </w:p>
    <w:p w:rsidR="006A5D1A" w:rsidRDefault="006A5D1A">
      <w:pPr>
        <w:spacing w:after="0" w:line="200" w:lineRule="exact"/>
        <w:rPr>
          <w:sz w:val="20"/>
          <w:szCs w:val="20"/>
        </w:rPr>
      </w:pPr>
    </w:p>
    <w:p w:rsidR="006A5D1A" w:rsidRDefault="006A5D1A">
      <w:pPr>
        <w:spacing w:before="20" w:after="0" w:line="260" w:lineRule="exact"/>
        <w:rPr>
          <w:sz w:val="26"/>
          <w:szCs w:val="26"/>
        </w:rPr>
      </w:pPr>
    </w:p>
    <w:p w:rsidR="006A5D1A" w:rsidRDefault="00416922">
      <w:pPr>
        <w:spacing w:before="29" w:after="0" w:line="240" w:lineRule="auto"/>
        <w:ind w:left="3412" w:right="395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RESOLUTION #2015-1</w:t>
      </w:r>
      <w:r w:rsidR="00A6101A">
        <w:rPr>
          <w:rFonts w:ascii="Times New Roman" w:eastAsia="Times New Roman" w:hAnsi="Times New Roman" w:cs="Times New Roman"/>
          <w:b/>
          <w:bCs/>
          <w:sz w:val="24"/>
          <w:szCs w:val="24"/>
        </w:rPr>
        <w:t>40</w:t>
      </w:r>
    </w:p>
    <w:p w:rsidR="006A5D1A" w:rsidRDefault="006A5D1A">
      <w:pPr>
        <w:spacing w:before="2" w:after="0" w:line="150" w:lineRule="exact"/>
        <w:rPr>
          <w:sz w:val="15"/>
          <w:szCs w:val="15"/>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416922">
      <w:pPr>
        <w:spacing w:after="0" w:line="240" w:lineRule="auto"/>
        <w:ind w:left="662" w:right="120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RESO</w:t>
      </w:r>
      <w:r>
        <w:rPr>
          <w:rFonts w:ascii="Times New Roman" w:eastAsia="Times New Roman" w:hAnsi="Times New Roman" w:cs="Times New Roman"/>
          <w:b/>
          <w:bCs/>
          <w:spacing w:val="1"/>
          <w:sz w:val="24"/>
          <w:szCs w:val="24"/>
        </w:rPr>
        <w:t>LU</w:t>
      </w:r>
      <w:r>
        <w:rPr>
          <w:rFonts w:ascii="Times New Roman" w:eastAsia="Times New Roman" w:hAnsi="Times New Roman" w:cs="Times New Roman"/>
          <w:b/>
          <w:bCs/>
          <w:sz w:val="24"/>
          <w:szCs w:val="24"/>
        </w:rPr>
        <w:t xml:space="preserve">TION </w:t>
      </w:r>
      <w:r w:rsidR="001232FD">
        <w:rPr>
          <w:rFonts w:ascii="Times New Roman" w:eastAsia="Times New Roman" w:hAnsi="Times New Roman" w:cs="Times New Roman"/>
          <w:b/>
          <w:bCs/>
          <w:sz w:val="24"/>
          <w:szCs w:val="24"/>
        </w:rPr>
        <w:t xml:space="preserve">TO </w:t>
      </w:r>
      <w:r w:rsidR="00A6101A">
        <w:rPr>
          <w:rFonts w:ascii="Times New Roman" w:eastAsia="Times New Roman" w:hAnsi="Times New Roman" w:cs="Times New Roman"/>
          <w:b/>
          <w:bCs/>
          <w:sz w:val="24"/>
          <w:szCs w:val="24"/>
        </w:rPr>
        <w:t>AUTHORIZE THE HEALTH COMMISSIONER TO APPROVE CERTAIN EXPENDITURES, PROV</w:t>
      </w:r>
      <w:r w:rsidR="0068585A">
        <w:rPr>
          <w:rFonts w:ascii="Times New Roman" w:eastAsia="Times New Roman" w:hAnsi="Times New Roman" w:cs="Times New Roman"/>
          <w:b/>
          <w:bCs/>
          <w:sz w:val="24"/>
          <w:szCs w:val="24"/>
        </w:rPr>
        <w:t>IDE</w:t>
      </w:r>
      <w:r w:rsidR="00A6101A">
        <w:rPr>
          <w:rFonts w:ascii="Times New Roman" w:eastAsia="Times New Roman" w:hAnsi="Times New Roman" w:cs="Times New Roman"/>
          <w:b/>
          <w:bCs/>
          <w:sz w:val="24"/>
          <w:szCs w:val="24"/>
        </w:rPr>
        <w:t xml:space="preserve"> FOR THE DISBURSEMENT OF FUNDS, AND </w:t>
      </w:r>
      <w:r w:rsidR="0068585A">
        <w:rPr>
          <w:rFonts w:ascii="Times New Roman" w:eastAsia="Times New Roman" w:hAnsi="Times New Roman" w:cs="Times New Roman"/>
          <w:b/>
          <w:bCs/>
          <w:sz w:val="24"/>
          <w:szCs w:val="24"/>
        </w:rPr>
        <w:t>ENSURE</w:t>
      </w:r>
      <w:r w:rsidR="00A6101A">
        <w:rPr>
          <w:rFonts w:ascii="Times New Roman" w:eastAsia="Times New Roman" w:hAnsi="Times New Roman" w:cs="Times New Roman"/>
          <w:b/>
          <w:bCs/>
          <w:sz w:val="24"/>
          <w:szCs w:val="24"/>
        </w:rPr>
        <w:t xml:space="preserve"> THE SAFEKEEPING OF HEALTH DEPARTMENT FUNDS</w:t>
      </w:r>
      <w:r w:rsidR="00611296">
        <w:rPr>
          <w:rFonts w:ascii="Times New Roman" w:eastAsia="Times New Roman" w:hAnsi="Times New Roman" w:cs="Times New Roman"/>
          <w:b/>
          <w:bCs/>
          <w:sz w:val="24"/>
          <w:szCs w:val="24"/>
        </w:rPr>
        <w:t xml:space="preserve"> </w:t>
      </w:r>
    </w:p>
    <w:p w:rsidR="006A5D1A" w:rsidRDefault="006A5D1A">
      <w:pPr>
        <w:spacing w:before="5" w:after="0" w:line="100" w:lineRule="exact"/>
        <w:rPr>
          <w:sz w:val="10"/>
          <w:szCs w:val="10"/>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416922" w:rsidP="001F4545">
      <w:pPr>
        <w:spacing w:after="0" w:line="240" w:lineRule="auto"/>
        <w:ind w:left="120" w:right="620"/>
        <w:jc w:val="both"/>
        <w:rPr>
          <w:rFonts w:ascii="Times New Roman" w:eastAsia="Times New Roman" w:hAnsi="Times New Roman" w:cs="Times New Roman"/>
        </w:rPr>
      </w:pPr>
      <w:r>
        <w:rPr>
          <w:rFonts w:ascii="Times New Roman" w:eastAsia="Times New Roman" w:hAnsi="Times New Roman" w:cs="Times New Roman"/>
        </w:rPr>
        <w:t xml:space="preserve">WHEREAS, </w:t>
      </w:r>
      <w:r w:rsidRPr="00416922">
        <w:rPr>
          <w:rFonts w:ascii="Times New Roman" w:eastAsia="Times New Roman" w:hAnsi="Times New Roman" w:cs="Times New Roman"/>
        </w:rPr>
        <w:t xml:space="preserve">the Board of Health has </w:t>
      </w:r>
      <w:r w:rsidR="00A6101A">
        <w:rPr>
          <w:rFonts w:ascii="Times New Roman" w:eastAsia="Times New Roman" w:hAnsi="Times New Roman" w:cs="Times New Roman"/>
        </w:rPr>
        <w:t xml:space="preserve">the </w:t>
      </w:r>
      <w:r w:rsidR="00D40D05">
        <w:rPr>
          <w:rFonts w:ascii="Times New Roman" w:eastAsia="Times New Roman" w:hAnsi="Times New Roman" w:cs="Times New Roman"/>
        </w:rPr>
        <w:t xml:space="preserve">authority to </w:t>
      </w:r>
      <w:r w:rsidR="00A6101A">
        <w:rPr>
          <w:rFonts w:ascii="Times New Roman" w:eastAsia="Times New Roman" w:hAnsi="Times New Roman" w:cs="Times New Roman"/>
        </w:rPr>
        <w:t>approve expenditures, disperse funds, and safeguard the funds of the Galion City Health Department</w:t>
      </w:r>
      <w:r w:rsidRPr="00416922">
        <w:rPr>
          <w:rFonts w:ascii="Times New Roman" w:eastAsia="Times New Roman" w:hAnsi="Times New Roman" w:cs="Times New Roman"/>
        </w:rPr>
        <w:t>; and</w:t>
      </w:r>
    </w:p>
    <w:p w:rsidR="006A5D1A" w:rsidRDefault="006A5D1A" w:rsidP="001F4545">
      <w:pPr>
        <w:spacing w:before="12" w:after="0" w:line="240" w:lineRule="auto"/>
        <w:rPr>
          <w:sz w:val="24"/>
          <w:szCs w:val="24"/>
        </w:rPr>
      </w:pPr>
    </w:p>
    <w:p w:rsidR="00416922" w:rsidRPr="00416922" w:rsidRDefault="00416922" w:rsidP="001F4545">
      <w:pPr>
        <w:spacing w:after="0" w:line="240" w:lineRule="auto"/>
        <w:ind w:left="120" w:right="620"/>
        <w:jc w:val="both"/>
        <w:rPr>
          <w:rFonts w:ascii="Times New Roman" w:eastAsia="Times New Roman" w:hAnsi="Times New Roman" w:cs="Times New Roman"/>
          <w:b/>
          <w:bCs/>
        </w:rPr>
      </w:pPr>
      <w:r>
        <w:rPr>
          <w:rFonts w:ascii="Times New Roman" w:eastAsia="Times New Roman" w:hAnsi="Times New Roman" w:cs="Times New Roman"/>
        </w:rPr>
        <w:t>WHEREAS,</w:t>
      </w:r>
      <w:r>
        <w:rPr>
          <w:rFonts w:ascii="Times New Roman" w:eastAsia="Times New Roman" w:hAnsi="Times New Roman" w:cs="Times New Roman"/>
          <w:spacing w:val="2"/>
        </w:rPr>
        <w:t xml:space="preserve"> </w:t>
      </w:r>
      <w:r w:rsidR="00A6101A">
        <w:rPr>
          <w:rFonts w:ascii="Times New Roman" w:eastAsia="Times New Roman" w:hAnsi="Times New Roman" w:cs="Times New Roman"/>
        </w:rPr>
        <w:t>the Board of Health is responsible for the management of the Galion City Health Department assets and funds</w:t>
      </w:r>
      <w:r w:rsidRPr="00416922">
        <w:rPr>
          <w:rFonts w:ascii="Times New Roman" w:eastAsia="Times New Roman" w:hAnsi="Times New Roman" w:cs="Times New Roman"/>
        </w:rPr>
        <w:t>; and</w:t>
      </w:r>
    </w:p>
    <w:p w:rsidR="006A5D1A" w:rsidRDefault="006A5D1A" w:rsidP="001F4545">
      <w:pPr>
        <w:spacing w:before="13" w:after="0" w:line="240" w:lineRule="auto"/>
        <w:rPr>
          <w:sz w:val="24"/>
          <w:szCs w:val="24"/>
        </w:rPr>
      </w:pPr>
    </w:p>
    <w:p w:rsidR="006A5D1A" w:rsidRDefault="00416922" w:rsidP="001F4545">
      <w:pPr>
        <w:spacing w:after="0" w:line="240" w:lineRule="auto"/>
        <w:ind w:left="120" w:right="622"/>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spacing w:val="9"/>
        </w:rPr>
        <w:t xml:space="preserve"> </w:t>
      </w:r>
      <w:r w:rsidR="00A6101A">
        <w:rPr>
          <w:rFonts w:ascii="Times New Roman" w:eastAsia="Times New Roman" w:hAnsi="Times New Roman" w:cs="Times New Roman"/>
        </w:rPr>
        <w:t>the Board of Health desires to institute adequate controls for the safekeeping of Health Department funds yet allow for the timely payment of bills and conduct of Health Department business by the Galion City Health Department’s Health Commissioner</w:t>
      </w:r>
      <w:r w:rsidRPr="00416922">
        <w:rPr>
          <w:rFonts w:ascii="Times New Roman" w:eastAsia="Times New Roman" w:hAnsi="Times New Roman" w:cs="Times New Roman"/>
        </w:rPr>
        <w:t>; and</w:t>
      </w:r>
    </w:p>
    <w:p w:rsidR="00416922" w:rsidRDefault="00416922" w:rsidP="001F4545">
      <w:pPr>
        <w:spacing w:after="0" w:line="240" w:lineRule="auto"/>
        <w:ind w:left="120" w:right="622"/>
        <w:jc w:val="both"/>
        <w:rPr>
          <w:sz w:val="24"/>
          <w:szCs w:val="24"/>
        </w:rPr>
      </w:pPr>
    </w:p>
    <w:p w:rsidR="006A5D1A" w:rsidRDefault="00416922" w:rsidP="001F4545">
      <w:pPr>
        <w:spacing w:after="0" w:line="240" w:lineRule="auto"/>
        <w:ind w:left="120" w:right="615"/>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spacing w:val="-8"/>
        </w:rPr>
        <w:t xml:space="preserve"> </w:t>
      </w:r>
      <w:r w:rsidR="00C4685E">
        <w:rPr>
          <w:rFonts w:ascii="Times New Roman" w:eastAsia="Times New Roman" w:hAnsi="Times New Roman" w:cs="Times New Roman"/>
        </w:rPr>
        <w:t>the Board of Health has the authority to appoint a Health Commissioner per section 3709.14 of the Ohio Revised Code</w:t>
      </w:r>
      <w:r w:rsidRPr="00416922">
        <w:rPr>
          <w:rFonts w:ascii="Times New Roman" w:eastAsia="Times New Roman" w:hAnsi="Times New Roman" w:cs="Times New Roman"/>
        </w:rPr>
        <w:t>; and</w:t>
      </w:r>
    </w:p>
    <w:p w:rsidR="00416922" w:rsidRDefault="00416922" w:rsidP="001F4545">
      <w:pPr>
        <w:spacing w:after="0" w:line="240" w:lineRule="auto"/>
        <w:ind w:left="120" w:right="615"/>
        <w:jc w:val="both"/>
        <w:rPr>
          <w:rFonts w:ascii="Times New Roman" w:eastAsia="Times New Roman" w:hAnsi="Times New Roman" w:cs="Times New Roman"/>
        </w:rPr>
      </w:pPr>
    </w:p>
    <w:p w:rsidR="00416922" w:rsidRPr="00416922" w:rsidRDefault="00416922" w:rsidP="001F4545">
      <w:pPr>
        <w:spacing w:after="0" w:line="240" w:lineRule="auto"/>
        <w:ind w:left="120" w:right="615"/>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spacing w:val="-8"/>
        </w:rPr>
        <w:t xml:space="preserve"> </w:t>
      </w:r>
      <w:r w:rsidRPr="00416922">
        <w:rPr>
          <w:rFonts w:ascii="Times New Roman" w:eastAsia="Times New Roman" w:hAnsi="Times New Roman" w:cs="Times New Roman"/>
        </w:rPr>
        <w:t xml:space="preserve">the </w:t>
      </w:r>
      <w:r w:rsidR="001232FD">
        <w:rPr>
          <w:rFonts w:ascii="Times New Roman" w:eastAsia="Times New Roman" w:hAnsi="Times New Roman" w:cs="Times New Roman"/>
        </w:rPr>
        <w:t xml:space="preserve">Board of Health </w:t>
      </w:r>
      <w:r w:rsidR="00C4685E">
        <w:rPr>
          <w:rFonts w:ascii="Times New Roman" w:eastAsia="Times New Roman" w:hAnsi="Times New Roman" w:cs="Times New Roman"/>
        </w:rPr>
        <w:t>desires to authorize the Health Commissioner to sign certain disbursements, desires to authorize the Health Commissioner to approve certain expenditures of Health Department funds subject to certain limitations specified by the Board of Health, and desires to institute additional internal controls for the safekeeping and protection of public funds.</w:t>
      </w:r>
    </w:p>
    <w:p w:rsidR="006A5D1A" w:rsidRDefault="006A5D1A" w:rsidP="001F4545">
      <w:pPr>
        <w:spacing w:after="0" w:line="240" w:lineRule="auto"/>
        <w:ind w:left="120" w:right="615"/>
        <w:jc w:val="both"/>
        <w:rPr>
          <w:sz w:val="24"/>
          <w:szCs w:val="24"/>
        </w:rPr>
      </w:pPr>
    </w:p>
    <w:p w:rsidR="00416922" w:rsidRDefault="001A5A7B" w:rsidP="001F4545">
      <w:pPr>
        <w:spacing w:before="12" w:after="0" w:line="240" w:lineRule="auto"/>
        <w:rPr>
          <w:rFonts w:ascii="Times New Roman" w:eastAsia="Times New Roman" w:hAnsi="Times New Roman" w:cs="Times New Roman"/>
          <w:bCs/>
        </w:rPr>
      </w:pPr>
      <w:r>
        <w:rPr>
          <w:rFonts w:ascii="Times New Roman" w:eastAsia="Times New Roman" w:hAnsi="Times New Roman" w:cs="Times New Roman"/>
          <w:bCs/>
        </w:rPr>
        <w:t>NOW, THEREFORE, BE IT RESOLVED</w:t>
      </w:r>
      <w:r w:rsidR="001232FD">
        <w:rPr>
          <w:rFonts w:ascii="Times New Roman" w:eastAsia="Times New Roman" w:hAnsi="Times New Roman" w:cs="Times New Roman"/>
          <w:bCs/>
        </w:rPr>
        <w:t xml:space="preserve"> that the Galion City Board of Health authorizes the Health Commissioner </w:t>
      </w:r>
      <w:r w:rsidR="009F43F3">
        <w:rPr>
          <w:rFonts w:ascii="Times New Roman" w:eastAsia="Times New Roman" w:hAnsi="Times New Roman" w:cs="Times New Roman"/>
          <w:bCs/>
        </w:rPr>
        <w:t xml:space="preserve">to approve expenditures </w:t>
      </w:r>
      <w:r w:rsidR="004577E0">
        <w:rPr>
          <w:rFonts w:ascii="Times New Roman" w:eastAsia="Times New Roman" w:hAnsi="Times New Roman" w:cs="Times New Roman"/>
          <w:bCs/>
        </w:rPr>
        <w:t>of the Health Department’s funds in an amount not to exceed</w:t>
      </w:r>
      <w:r w:rsidR="009F43F3">
        <w:rPr>
          <w:rFonts w:ascii="Times New Roman" w:eastAsia="Times New Roman" w:hAnsi="Times New Roman" w:cs="Times New Roman"/>
          <w:bCs/>
        </w:rPr>
        <w:t xml:space="preserve"> $5,000.00 without a motion from the Board of Health in order to pay bills and conduct Health Department business.</w:t>
      </w:r>
    </w:p>
    <w:p w:rsidR="001232FD" w:rsidRDefault="001232FD" w:rsidP="001F4545">
      <w:pPr>
        <w:spacing w:before="12" w:after="0" w:line="240" w:lineRule="auto"/>
        <w:rPr>
          <w:rFonts w:ascii="Times New Roman" w:eastAsia="Times New Roman" w:hAnsi="Times New Roman" w:cs="Times New Roman"/>
          <w:bCs/>
        </w:rPr>
      </w:pPr>
    </w:p>
    <w:p w:rsidR="001232FD" w:rsidRDefault="00166261" w:rsidP="001F4545">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w:t>
      </w:r>
      <w:r w:rsidR="001232FD">
        <w:rPr>
          <w:rFonts w:ascii="Times New Roman" w:eastAsia="Times New Roman" w:hAnsi="Times New Roman" w:cs="Times New Roman"/>
          <w:bCs/>
        </w:rPr>
        <w:t xml:space="preserve"> that </w:t>
      </w:r>
      <w:r w:rsidR="009F43F3">
        <w:rPr>
          <w:rFonts w:ascii="Times New Roman" w:eastAsia="Times New Roman" w:hAnsi="Times New Roman" w:cs="Times New Roman"/>
          <w:bCs/>
        </w:rPr>
        <w:t>the $5,000</w:t>
      </w:r>
      <w:r>
        <w:rPr>
          <w:rFonts w:ascii="Times New Roman" w:eastAsia="Times New Roman" w:hAnsi="Times New Roman" w:cs="Times New Roman"/>
          <w:bCs/>
        </w:rPr>
        <w:t>.</w:t>
      </w:r>
      <w:r w:rsidR="009F43F3">
        <w:rPr>
          <w:rFonts w:ascii="Times New Roman" w:eastAsia="Times New Roman" w:hAnsi="Times New Roman" w:cs="Times New Roman"/>
          <w:bCs/>
        </w:rPr>
        <w:t>00 limit is lifted for the purposes of payroll.</w:t>
      </w:r>
    </w:p>
    <w:p w:rsidR="00166261" w:rsidRDefault="00166261" w:rsidP="001F4545">
      <w:pPr>
        <w:spacing w:before="12" w:after="0" w:line="240" w:lineRule="auto"/>
        <w:rPr>
          <w:rFonts w:ascii="Times New Roman" w:eastAsia="Times New Roman" w:hAnsi="Times New Roman" w:cs="Times New Roman"/>
          <w:bCs/>
        </w:rPr>
      </w:pPr>
    </w:p>
    <w:p w:rsidR="004577E0" w:rsidRDefault="004577E0" w:rsidP="004577E0">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 that proposed expenditures are of a type or for a purpose included within the Health Department</w:t>
      </w:r>
      <w:r w:rsidR="0068585A">
        <w:rPr>
          <w:rFonts w:ascii="Times New Roman" w:eastAsia="Times New Roman" w:hAnsi="Times New Roman" w:cs="Times New Roman"/>
          <w:bCs/>
        </w:rPr>
        <w:t>’s then-</w:t>
      </w:r>
      <w:r>
        <w:rPr>
          <w:rFonts w:ascii="Times New Roman" w:eastAsia="Times New Roman" w:hAnsi="Times New Roman" w:cs="Times New Roman"/>
          <w:bCs/>
        </w:rPr>
        <w:t>current fiscal year budget</w:t>
      </w:r>
      <w:r w:rsidR="00520AA0">
        <w:rPr>
          <w:rFonts w:ascii="Times New Roman" w:eastAsia="Times New Roman" w:hAnsi="Times New Roman" w:cs="Times New Roman"/>
          <w:bCs/>
        </w:rPr>
        <w:t>.</w:t>
      </w:r>
    </w:p>
    <w:p w:rsidR="00520AA0" w:rsidRDefault="00520AA0" w:rsidP="004577E0">
      <w:pPr>
        <w:spacing w:before="12" w:after="0" w:line="240" w:lineRule="auto"/>
        <w:ind w:left="90"/>
        <w:rPr>
          <w:rFonts w:ascii="Times New Roman" w:eastAsia="Times New Roman" w:hAnsi="Times New Roman" w:cs="Times New Roman"/>
          <w:bCs/>
        </w:rPr>
      </w:pPr>
    </w:p>
    <w:p w:rsidR="004577E0" w:rsidRDefault="004577E0" w:rsidP="00520AA0">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 xml:space="preserve">Be it further resolved that the </w:t>
      </w:r>
      <w:r w:rsidR="00520AA0">
        <w:rPr>
          <w:rFonts w:ascii="Times New Roman" w:eastAsia="Times New Roman" w:hAnsi="Times New Roman" w:cs="Times New Roman"/>
          <w:bCs/>
        </w:rPr>
        <w:t>Health Commissioner may act on behalf of the Board of Health in order to amend the Health Department budget based on organizational needs</w:t>
      </w:r>
      <w:r>
        <w:rPr>
          <w:rFonts w:ascii="Times New Roman" w:eastAsia="Times New Roman" w:hAnsi="Times New Roman" w:cs="Times New Roman"/>
          <w:bCs/>
        </w:rPr>
        <w:t>.</w:t>
      </w:r>
    </w:p>
    <w:p w:rsidR="00520AA0" w:rsidRDefault="00520AA0" w:rsidP="00520AA0">
      <w:pPr>
        <w:spacing w:before="12" w:after="0" w:line="240" w:lineRule="auto"/>
        <w:ind w:left="90"/>
        <w:rPr>
          <w:rFonts w:ascii="Times New Roman" w:eastAsia="Times New Roman" w:hAnsi="Times New Roman" w:cs="Times New Roman"/>
          <w:bCs/>
        </w:rPr>
      </w:pPr>
    </w:p>
    <w:p w:rsidR="00520AA0" w:rsidRDefault="00520AA0" w:rsidP="00520AA0">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 that the Health Commissioner may not break</w:t>
      </w:r>
      <w:r w:rsidR="0068585A">
        <w:rPr>
          <w:rFonts w:ascii="Times New Roman" w:eastAsia="Times New Roman" w:hAnsi="Times New Roman" w:cs="Times New Roman"/>
          <w:bCs/>
        </w:rPr>
        <w:t xml:space="preserve"> </w:t>
      </w:r>
      <w:r>
        <w:rPr>
          <w:rFonts w:ascii="Times New Roman" w:eastAsia="Times New Roman" w:hAnsi="Times New Roman" w:cs="Times New Roman"/>
          <w:bCs/>
        </w:rPr>
        <w:t>down any proposed expenditure into components for the purpose of avoiding limitations on his/her expenditure authority.</w:t>
      </w:r>
    </w:p>
    <w:p w:rsidR="00520AA0" w:rsidRDefault="00520AA0" w:rsidP="00520AA0">
      <w:pPr>
        <w:spacing w:before="12" w:after="0" w:line="240" w:lineRule="auto"/>
        <w:ind w:left="90"/>
        <w:rPr>
          <w:rFonts w:ascii="Times New Roman" w:eastAsia="Times New Roman" w:hAnsi="Times New Roman" w:cs="Times New Roman"/>
          <w:bCs/>
        </w:rPr>
      </w:pPr>
    </w:p>
    <w:p w:rsidR="00520AA0" w:rsidRDefault="00520AA0" w:rsidP="00520AA0">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 that the Health Commissioner may approve expenditures of Health Department funds in accordance with any specific authorization granted by the Board of Health during a Board meeting.</w:t>
      </w:r>
    </w:p>
    <w:p w:rsidR="00520AA0" w:rsidRDefault="00520AA0" w:rsidP="00520AA0">
      <w:pPr>
        <w:spacing w:before="12" w:after="0" w:line="240" w:lineRule="auto"/>
        <w:ind w:left="90"/>
        <w:rPr>
          <w:rFonts w:ascii="Times New Roman" w:eastAsia="Times New Roman" w:hAnsi="Times New Roman" w:cs="Times New Roman"/>
          <w:bCs/>
        </w:rPr>
      </w:pPr>
    </w:p>
    <w:p w:rsidR="00D731DB" w:rsidRDefault="00D731DB">
      <w:pPr>
        <w:rPr>
          <w:rFonts w:ascii="Times New Roman" w:eastAsia="Times New Roman" w:hAnsi="Times New Roman" w:cs="Times New Roman"/>
          <w:bCs/>
        </w:rPr>
      </w:pPr>
      <w:r>
        <w:rPr>
          <w:rFonts w:ascii="Times New Roman" w:eastAsia="Times New Roman" w:hAnsi="Times New Roman" w:cs="Times New Roman"/>
          <w:bCs/>
        </w:rPr>
        <w:br w:type="page"/>
      </w:r>
    </w:p>
    <w:p w:rsidR="00D731DB" w:rsidRDefault="00D731DB" w:rsidP="00520AA0">
      <w:pPr>
        <w:spacing w:before="12" w:after="0" w:line="240" w:lineRule="auto"/>
        <w:ind w:left="90"/>
        <w:rPr>
          <w:rFonts w:ascii="Times New Roman" w:eastAsia="Times New Roman" w:hAnsi="Times New Roman" w:cs="Times New Roman"/>
          <w:bCs/>
        </w:rPr>
      </w:pPr>
    </w:p>
    <w:p w:rsidR="00D731DB" w:rsidRDefault="00D731DB" w:rsidP="00520AA0">
      <w:pPr>
        <w:spacing w:before="12" w:after="0" w:line="240" w:lineRule="auto"/>
        <w:ind w:left="90"/>
        <w:rPr>
          <w:rFonts w:ascii="Times New Roman" w:eastAsia="Times New Roman" w:hAnsi="Times New Roman" w:cs="Times New Roman"/>
          <w:bCs/>
        </w:rPr>
      </w:pPr>
    </w:p>
    <w:p w:rsidR="00D731DB" w:rsidRDefault="00D731DB" w:rsidP="00520AA0">
      <w:pPr>
        <w:spacing w:before="12" w:after="0" w:line="240" w:lineRule="auto"/>
        <w:ind w:left="90"/>
        <w:rPr>
          <w:rFonts w:ascii="Times New Roman" w:eastAsia="Times New Roman" w:hAnsi="Times New Roman" w:cs="Times New Roman"/>
          <w:bCs/>
        </w:rPr>
      </w:pPr>
    </w:p>
    <w:p w:rsidR="00D731DB" w:rsidRDefault="00D731DB" w:rsidP="00520AA0">
      <w:pPr>
        <w:spacing w:before="12" w:after="0" w:line="240" w:lineRule="auto"/>
        <w:ind w:left="90"/>
        <w:rPr>
          <w:rFonts w:ascii="Times New Roman" w:eastAsia="Times New Roman" w:hAnsi="Times New Roman" w:cs="Times New Roman"/>
          <w:bCs/>
        </w:rPr>
      </w:pPr>
    </w:p>
    <w:p w:rsidR="00520AA0" w:rsidRDefault="00520AA0" w:rsidP="00520AA0">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 that the Health Commissioner may approve expenditures of Health Department funds in any amount as may be necessary to respond to emergency conditions that potentially threaten the health, safety, or welfare of Health Department clients, residents of the City of Galion, or employees for which immediate corrective action is necessary.  Notification of such action shal</w:t>
      </w:r>
      <w:r w:rsidR="0068585A">
        <w:rPr>
          <w:rFonts w:ascii="Times New Roman" w:eastAsia="Times New Roman" w:hAnsi="Times New Roman" w:cs="Times New Roman"/>
          <w:bCs/>
        </w:rPr>
        <w:t>l be presented to the Board of H</w:t>
      </w:r>
      <w:r>
        <w:rPr>
          <w:rFonts w:ascii="Times New Roman" w:eastAsia="Times New Roman" w:hAnsi="Times New Roman" w:cs="Times New Roman"/>
          <w:bCs/>
        </w:rPr>
        <w:t>ealth and subsequentl</w:t>
      </w:r>
      <w:r w:rsidR="0068585A">
        <w:rPr>
          <w:rFonts w:ascii="Times New Roman" w:eastAsia="Times New Roman" w:hAnsi="Times New Roman" w:cs="Times New Roman"/>
          <w:bCs/>
        </w:rPr>
        <w:t>y placed on the agenda for the B</w:t>
      </w:r>
      <w:r>
        <w:rPr>
          <w:rFonts w:ascii="Times New Roman" w:eastAsia="Times New Roman" w:hAnsi="Times New Roman" w:cs="Times New Roman"/>
          <w:bCs/>
        </w:rPr>
        <w:t>oard of Health’s next scheduled meeting.</w:t>
      </w:r>
    </w:p>
    <w:p w:rsidR="004673CA" w:rsidRDefault="004673CA" w:rsidP="002C020A">
      <w:pPr>
        <w:spacing w:before="12" w:after="0" w:line="240" w:lineRule="auto"/>
        <w:ind w:left="90"/>
        <w:rPr>
          <w:rFonts w:ascii="Times New Roman" w:eastAsia="Times New Roman" w:hAnsi="Times New Roman" w:cs="Times New Roman"/>
          <w:bCs/>
        </w:rPr>
      </w:pPr>
    </w:p>
    <w:p w:rsidR="002C020A" w:rsidRDefault="002C020A" w:rsidP="002C020A">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 that the Health Commissioner shall exercise his/her expenditure authority in a prudent and fiscally responsible manner, and consistent with all applicable policies and resolutions adopted by the Board of Health.</w:t>
      </w:r>
    </w:p>
    <w:p w:rsidR="002C020A" w:rsidRDefault="002C020A" w:rsidP="002C020A">
      <w:pPr>
        <w:spacing w:before="12" w:after="0" w:line="240" w:lineRule="auto"/>
        <w:ind w:left="90"/>
        <w:rPr>
          <w:rFonts w:ascii="Times New Roman" w:eastAsia="Times New Roman" w:hAnsi="Times New Roman" w:cs="Times New Roman"/>
          <w:bCs/>
        </w:rPr>
      </w:pPr>
    </w:p>
    <w:p w:rsidR="002C020A" w:rsidRDefault="002C020A" w:rsidP="002C020A">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 that all expenditures approved by the Health Commissioner shall</w:t>
      </w:r>
      <w:r w:rsidR="004673CA">
        <w:rPr>
          <w:rFonts w:ascii="Times New Roman" w:eastAsia="Times New Roman" w:hAnsi="Times New Roman" w:cs="Times New Roman"/>
          <w:bCs/>
        </w:rPr>
        <w:t xml:space="preserve"> be</w:t>
      </w:r>
      <w:r>
        <w:rPr>
          <w:rFonts w:ascii="Times New Roman" w:eastAsia="Times New Roman" w:hAnsi="Times New Roman" w:cs="Times New Roman"/>
          <w:bCs/>
        </w:rPr>
        <w:t xml:space="preserve"> identified in the financial reports presented to the Board of Health.</w:t>
      </w:r>
    </w:p>
    <w:p w:rsidR="002C020A" w:rsidRDefault="002C020A" w:rsidP="002C020A">
      <w:pPr>
        <w:spacing w:before="12" w:after="0" w:line="240" w:lineRule="auto"/>
        <w:ind w:left="90"/>
        <w:rPr>
          <w:rFonts w:ascii="Times New Roman" w:eastAsia="Times New Roman" w:hAnsi="Times New Roman" w:cs="Times New Roman"/>
          <w:bCs/>
        </w:rPr>
      </w:pPr>
    </w:p>
    <w:p w:rsidR="002C020A" w:rsidRDefault="002C020A" w:rsidP="002C020A">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 that the Health Commissioner shall not exercise his/her expenditure authority so as to avoid or circumvent Board of Health participation in expenditures or projects that may be of particular interest.</w:t>
      </w:r>
    </w:p>
    <w:p w:rsidR="002C020A" w:rsidRDefault="002C020A" w:rsidP="002C020A">
      <w:pPr>
        <w:spacing w:before="12" w:after="0" w:line="240" w:lineRule="auto"/>
        <w:ind w:left="90"/>
        <w:rPr>
          <w:rFonts w:ascii="Times New Roman" w:eastAsia="Times New Roman" w:hAnsi="Times New Roman" w:cs="Times New Roman"/>
          <w:bCs/>
        </w:rPr>
      </w:pPr>
    </w:p>
    <w:p w:rsidR="00166261" w:rsidRDefault="00166261" w:rsidP="001F4545">
      <w:pPr>
        <w:spacing w:before="12" w:after="0" w:line="240" w:lineRule="auto"/>
        <w:ind w:left="90"/>
        <w:rPr>
          <w:rFonts w:ascii="Times New Roman" w:eastAsia="Times New Roman" w:hAnsi="Times New Roman" w:cs="Times New Roman"/>
        </w:rPr>
      </w:pPr>
      <w:r>
        <w:rPr>
          <w:rFonts w:ascii="Times New Roman" w:eastAsia="Times New Roman" w:hAnsi="Times New Roman" w:cs="Times New Roman"/>
          <w:bCs/>
        </w:rPr>
        <w:t xml:space="preserve">Be it further resolved that </w:t>
      </w:r>
      <w:r w:rsidR="004577E0">
        <w:rPr>
          <w:rFonts w:ascii="Times New Roman" w:eastAsia="Times New Roman" w:hAnsi="Times New Roman" w:cs="Times New Roman"/>
          <w:bCs/>
        </w:rPr>
        <w:t>all such authorized disbursements of Health Department shall require the signature of the Health Commissioner</w:t>
      </w:r>
      <w:r w:rsidR="00C93312">
        <w:rPr>
          <w:rFonts w:ascii="Times New Roman" w:eastAsia="Times New Roman" w:hAnsi="Times New Roman" w:cs="Times New Roman"/>
        </w:rPr>
        <w:t>.</w:t>
      </w:r>
      <w:r w:rsidR="004577E0">
        <w:rPr>
          <w:rFonts w:ascii="Times New Roman" w:eastAsia="Times New Roman" w:hAnsi="Times New Roman" w:cs="Times New Roman"/>
        </w:rPr>
        <w:t xml:space="preserve">  In the event of a vacancy of the Health Commissioner role, the Board of Health may designate an alternate staff member to have temporary signing authority until such time as the vacancy is filled.</w:t>
      </w:r>
      <w:r w:rsidR="002C020A">
        <w:rPr>
          <w:rFonts w:ascii="Times New Roman" w:eastAsia="Times New Roman" w:hAnsi="Times New Roman" w:cs="Times New Roman"/>
        </w:rPr>
        <w:t xml:space="preserve">  The Health Commissioner may delegate expenditure authority granted under this Resolution to staff designated as Directors.  Further, in the event of an absence or vacancy, the Health Commissioner may delegate temporary expenditure authorization to other personnel.  The </w:t>
      </w:r>
      <w:r w:rsidR="000D5A8A">
        <w:rPr>
          <w:rFonts w:ascii="Times New Roman" w:eastAsia="Times New Roman" w:hAnsi="Times New Roman" w:cs="Times New Roman"/>
        </w:rPr>
        <w:t xml:space="preserve">Authorized Personnel </w:t>
      </w:r>
      <w:r w:rsidR="002C020A">
        <w:rPr>
          <w:rFonts w:ascii="Times New Roman" w:eastAsia="Times New Roman" w:hAnsi="Times New Roman" w:cs="Times New Roman"/>
        </w:rPr>
        <w:t xml:space="preserve">shall not have the authority to approve or make any expenditure that would exceed the </w:t>
      </w:r>
      <w:r w:rsidR="000D5A8A">
        <w:rPr>
          <w:rFonts w:ascii="Times New Roman" w:eastAsia="Times New Roman" w:hAnsi="Times New Roman" w:cs="Times New Roman"/>
        </w:rPr>
        <w:t xml:space="preserve">remaining balance of a </w:t>
      </w:r>
      <w:r w:rsidR="002C020A">
        <w:rPr>
          <w:rFonts w:ascii="Times New Roman" w:eastAsia="Times New Roman" w:hAnsi="Times New Roman" w:cs="Times New Roman"/>
        </w:rPr>
        <w:t>budgeted amount for the relevant expense category</w:t>
      </w:r>
      <w:r w:rsidR="000D5A8A">
        <w:rPr>
          <w:rFonts w:ascii="Times New Roman" w:eastAsia="Times New Roman" w:hAnsi="Times New Roman" w:cs="Times New Roman"/>
        </w:rPr>
        <w:t>, as identified in the Health Department</w:t>
      </w:r>
      <w:r w:rsidR="0068585A">
        <w:rPr>
          <w:rFonts w:ascii="Times New Roman" w:eastAsia="Times New Roman" w:hAnsi="Times New Roman" w:cs="Times New Roman"/>
        </w:rPr>
        <w:t>’</w:t>
      </w:r>
      <w:r w:rsidR="000D5A8A">
        <w:rPr>
          <w:rFonts w:ascii="Times New Roman" w:eastAsia="Times New Roman" w:hAnsi="Times New Roman" w:cs="Times New Roman"/>
        </w:rPr>
        <w:t>s then</w:t>
      </w:r>
      <w:r w:rsidR="0068585A">
        <w:rPr>
          <w:rFonts w:ascii="Times New Roman" w:eastAsia="Times New Roman" w:hAnsi="Times New Roman" w:cs="Times New Roman"/>
        </w:rPr>
        <w:t>-</w:t>
      </w:r>
      <w:r w:rsidR="000D5A8A">
        <w:rPr>
          <w:rFonts w:ascii="Times New Roman" w:eastAsia="Times New Roman" w:hAnsi="Times New Roman" w:cs="Times New Roman"/>
        </w:rPr>
        <w:t>current fiscal year budget.  Further, the Health Commissioner shall not have the authority to approve any expenditure by Authorized Personnel that would exceed the Health Commissioner</w:t>
      </w:r>
      <w:r w:rsidR="0068585A">
        <w:rPr>
          <w:rFonts w:ascii="Times New Roman" w:eastAsia="Times New Roman" w:hAnsi="Times New Roman" w:cs="Times New Roman"/>
        </w:rPr>
        <w:t>’</w:t>
      </w:r>
      <w:r w:rsidR="000D5A8A">
        <w:rPr>
          <w:rFonts w:ascii="Times New Roman" w:eastAsia="Times New Roman" w:hAnsi="Times New Roman" w:cs="Times New Roman"/>
        </w:rPr>
        <w:t>s expenditure authority.  In all cases the Health Commissioner shall remain responsible for overseeing and ensuring that Authorized Personnel exercise any delegated expenditure authority properly, prudently, and in accordance with the terms and limitations of this Resolution.</w:t>
      </w:r>
    </w:p>
    <w:p w:rsidR="00C93312" w:rsidRDefault="00C93312" w:rsidP="001F4545">
      <w:pPr>
        <w:spacing w:after="0" w:line="240" w:lineRule="auto"/>
        <w:ind w:left="120" w:right="2170"/>
        <w:jc w:val="both"/>
        <w:rPr>
          <w:rFonts w:ascii="Times New Roman" w:eastAsia="Times New Roman" w:hAnsi="Times New Roman" w:cs="Times New Roman"/>
          <w:bCs/>
        </w:rPr>
      </w:pPr>
    </w:p>
    <w:p w:rsidR="006A5D1A" w:rsidRDefault="00416922" w:rsidP="001F4545">
      <w:pPr>
        <w:spacing w:after="0" w:line="240" w:lineRule="auto"/>
        <w:ind w:left="120" w:right="2170"/>
        <w:jc w:val="both"/>
        <w:rPr>
          <w:rFonts w:ascii="Times New Roman" w:eastAsia="Times New Roman" w:hAnsi="Times New Roman" w:cs="Times New Roman"/>
        </w:rPr>
      </w:pPr>
      <w:proofErr w:type="gramStart"/>
      <w:r>
        <w:rPr>
          <w:rFonts w:ascii="Times New Roman" w:eastAsia="Times New Roman" w:hAnsi="Times New Roman" w:cs="Times New Roman"/>
          <w:position w:val="-1"/>
        </w:rPr>
        <w:t>Adopted</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1"/>
          <w:position w:val="-1"/>
        </w:rPr>
        <w:t>b</w:t>
      </w:r>
      <w:r>
        <w:rPr>
          <w:rFonts w:ascii="Times New Roman" w:eastAsia="Times New Roman" w:hAnsi="Times New Roman" w:cs="Times New Roman"/>
          <w:position w:val="-1"/>
        </w:rPr>
        <w:t>y</w:t>
      </w:r>
      <w:r>
        <w:rPr>
          <w:rFonts w:ascii="Times New Roman" w:eastAsia="Times New Roman" w:hAnsi="Times New Roman" w:cs="Times New Roman"/>
          <w:spacing w:val="-1"/>
          <w:position w:val="-1"/>
        </w:rPr>
        <w:t xml:space="preserve"> t</w:t>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Galion</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City</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Board</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H</w:t>
      </w:r>
      <w:r>
        <w:rPr>
          <w:rFonts w:ascii="Times New Roman" w:eastAsia="Times New Roman" w:hAnsi="Times New Roman" w:cs="Times New Roman"/>
          <w:position w:val="-1"/>
        </w:rPr>
        <w:t>ealth</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 xml:space="preserve">this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spacing w:val="52"/>
          <w:position w:val="-1"/>
          <w:u w:val="single" w:color="000000"/>
        </w:rPr>
        <w:t xml:space="preserve"> </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y</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of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spacing w:val="53"/>
          <w:position w:val="-1"/>
          <w:u w:val="single" w:color="000000"/>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20</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spacing w:val="52"/>
          <w:position w:val="-1"/>
          <w:u w:val="single" w:color="000000"/>
        </w:rPr>
        <w:t xml:space="preserve"> </w:t>
      </w:r>
      <w:r>
        <w:rPr>
          <w:rFonts w:ascii="Times New Roman" w:eastAsia="Times New Roman" w:hAnsi="Times New Roman" w:cs="Times New Roman"/>
          <w:position w:val="-1"/>
        </w:rPr>
        <w:t>.</w:t>
      </w:r>
      <w:proofErr w:type="gramEnd"/>
    </w:p>
    <w:p w:rsidR="006A5D1A" w:rsidRDefault="006A5D1A">
      <w:pPr>
        <w:spacing w:before="5" w:after="0" w:line="180" w:lineRule="exact"/>
        <w:rPr>
          <w:sz w:val="18"/>
          <w:szCs w:val="18"/>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401701">
      <w:pPr>
        <w:tabs>
          <w:tab w:val="left" w:pos="5140"/>
        </w:tabs>
        <w:spacing w:before="31" w:after="0" w:line="240" w:lineRule="auto"/>
        <w:ind w:left="120" w:right="-20"/>
        <w:rPr>
          <w:rFonts w:ascii="Times New Roman" w:eastAsia="Times New Roman" w:hAnsi="Times New Roman" w:cs="Times New Roman"/>
        </w:rPr>
      </w:pPr>
      <w:r w:rsidRPr="00401701">
        <w:pict>
          <v:group id="_x0000_s1028" style="position:absolute;left:0;text-align:left;margin-left:1in;margin-top:.7pt;width:3in;height:.1pt;z-index:-251658752;mso-position-horizontal-relative:page" coordorigin="1440,14" coordsize="4320,2">
            <v:shape id="_x0000_s1029" style="position:absolute;left:1440;top:14;width:4320;height:2" coordorigin="1440,14" coordsize="4320,0" path="m1440,14r4320,e" filled="f" strokeweight=".64pt">
              <v:path arrowok="t"/>
            </v:shape>
            <w10:wrap anchorx="page"/>
          </v:group>
        </w:pict>
      </w:r>
      <w:r w:rsidRPr="00401701">
        <w:pict>
          <v:group id="_x0000_s1026" style="position:absolute;left:0;text-align:left;margin-left:324pt;margin-top:.7pt;width:3in;height:.1pt;z-index:-251657728;mso-position-horizontal-relative:page" coordorigin="6480,14" coordsize="4320,2">
            <v:shape id="_x0000_s1027" style="position:absolute;left:6480;top:14;width:4320;height:2" coordorigin="6480,14" coordsize="4320,0" path="m6480,14r4320,e" filled="f" strokeweight=".64pt">
              <v:path arrowok="t"/>
            </v:shape>
            <w10:wrap anchorx="page"/>
          </v:group>
        </w:pict>
      </w:r>
      <w:r w:rsidR="00416922">
        <w:rPr>
          <w:rFonts w:ascii="Times New Roman" w:eastAsia="Times New Roman" w:hAnsi="Times New Roman" w:cs="Times New Roman"/>
        </w:rPr>
        <w:t>Tho</w:t>
      </w:r>
      <w:r w:rsidR="00416922">
        <w:rPr>
          <w:rFonts w:ascii="Times New Roman" w:eastAsia="Times New Roman" w:hAnsi="Times New Roman" w:cs="Times New Roman"/>
          <w:spacing w:val="-2"/>
        </w:rPr>
        <w:t>m</w:t>
      </w:r>
      <w:r w:rsidR="00416922">
        <w:rPr>
          <w:rFonts w:ascii="Times New Roman" w:eastAsia="Times New Roman" w:hAnsi="Times New Roman" w:cs="Times New Roman"/>
        </w:rPr>
        <w:t>as</w:t>
      </w:r>
      <w:r w:rsidR="00416922">
        <w:rPr>
          <w:rFonts w:ascii="Times New Roman" w:eastAsia="Times New Roman" w:hAnsi="Times New Roman" w:cs="Times New Roman"/>
          <w:spacing w:val="-7"/>
        </w:rPr>
        <w:t xml:space="preserve"> </w:t>
      </w:r>
      <w:r w:rsidR="00416922">
        <w:rPr>
          <w:rFonts w:ascii="Times New Roman" w:eastAsia="Times New Roman" w:hAnsi="Times New Roman" w:cs="Times New Roman"/>
        </w:rPr>
        <w:t>O’Leary</w:t>
      </w:r>
      <w:r w:rsidR="00416922">
        <w:rPr>
          <w:rFonts w:ascii="Times New Roman" w:eastAsia="Times New Roman" w:hAnsi="Times New Roman" w:cs="Times New Roman"/>
        </w:rPr>
        <w:tab/>
        <w:t>Trish</w:t>
      </w:r>
      <w:r w:rsidR="00416922">
        <w:rPr>
          <w:rFonts w:ascii="Times New Roman" w:eastAsia="Times New Roman" w:hAnsi="Times New Roman" w:cs="Times New Roman"/>
          <w:spacing w:val="-5"/>
        </w:rPr>
        <w:t xml:space="preserve"> </w:t>
      </w:r>
      <w:r w:rsidR="00416922">
        <w:rPr>
          <w:rFonts w:ascii="Times New Roman" w:eastAsia="Times New Roman" w:hAnsi="Times New Roman" w:cs="Times New Roman"/>
        </w:rPr>
        <w:t>Factor</w:t>
      </w:r>
    </w:p>
    <w:p w:rsidR="006A5D1A" w:rsidRDefault="00416922">
      <w:pPr>
        <w:tabs>
          <w:tab w:val="left" w:pos="5140"/>
        </w:tabs>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r/Board</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Health</w:t>
      </w:r>
      <w:r>
        <w:rPr>
          <w:rFonts w:ascii="Times New Roman" w:eastAsia="Times New Roman" w:hAnsi="Times New Roman" w:cs="Times New Roman"/>
          <w:spacing w:val="-6"/>
        </w:rPr>
        <w:t xml:space="preserve"> </w:t>
      </w:r>
      <w:r>
        <w:rPr>
          <w:rFonts w:ascii="Times New Roman" w:eastAsia="Times New Roman" w:hAnsi="Times New Roman" w:cs="Times New Roman"/>
        </w:rPr>
        <w:t>President</w:t>
      </w:r>
      <w:r>
        <w:rPr>
          <w:rFonts w:ascii="Times New Roman" w:eastAsia="Times New Roman" w:hAnsi="Times New Roman" w:cs="Times New Roman"/>
        </w:rPr>
        <w:tab/>
        <w:t>Health</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mmissioner</w:t>
      </w:r>
    </w:p>
    <w:sectPr w:rsidR="006A5D1A" w:rsidSect="006A5D1A">
      <w:type w:val="continuous"/>
      <w:pgSz w:w="12240" w:h="15840"/>
      <w:pgMar w:top="520" w:right="76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DB" w:rsidRDefault="00D731DB" w:rsidP="00D731DB">
      <w:pPr>
        <w:spacing w:after="0" w:line="240" w:lineRule="auto"/>
      </w:pPr>
      <w:r>
        <w:separator/>
      </w:r>
    </w:p>
  </w:endnote>
  <w:endnote w:type="continuationSeparator" w:id="0">
    <w:p w:rsidR="00D731DB" w:rsidRDefault="00D731DB" w:rsidP="00D73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6664"/>
      <w:docPartObj>
        <w:docPartGallery w:val="Page Numbers (Bottom of Page)"/>
        <w:docPartUnique/>
      </w:docPartObj>
    </w:sdtPr>
    <w:sdtEndPr>
      <w:rPr>
        <w:rFonts w:ascii="Times New Roman" w:hAnsi="Times New Roman" w:cs="Times New Roman"/>
      </w:rPr>
    </w:sdtEndPr>
    <w:sdtContent>
      <w:p w:rsidR="00A33A7C" w:rsidRDefault="00A33A7C">
        <w:pPr>
          <w:pStyle w:val="Footer"/>
          <w:jc w:val="center"/>
        </w:pPr>
        <w:r>
          <w:pict>
            <v:shapetype id="_x0000_t110" coordsize="21600,21600" o:spt="110" path="m10800,l,10800,10800,21600,21600,10800xe">
              <v:stroke joinstyle="miter"/>
              <v:path gradientshapeok="t" o:connecttype="rect" textboxrect="5400,5400,16200,16200"/>
            </v:shapetype>
            <v:shape id="_x0000_s2052"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A33A7C" w:rsidRPr="00A33A7C" w:rsidRDefault="00A33A7C">
        <w:pPr>
          <w:pStyle w:val="Footer"/>
          <w:jc w:val="center"/>
          <w:rPr>
            <w:rFonts w:ascii="Times New Roman" w:hAnsi="Times New Roman" w:cs="Times New Roman"/>
          </w:rPr>
        </w:pPr>
        <w:r w:rsidRPr="00A33A7C">
          <w:rPr>
            <w:rFonts w:ascii="Times New Roman" w:hAnsi="Times New Roman" w:cs="Times New Roman"/>
          </w:rPr>
          <w:fldChar w:fldCharType="begin"/>
        </w:r>
        <w:r w:rsidRPr="00A33A7C">
          <w:rPr>
            <w:rFonts w:ascii="Times New Roman" w:hAnsi="Times New Roman" w:cs="Times New Roman"/>
          </w:rPr>
          <w:instrText xml:space="preserve"> PAGE    \* MERGEFORMAT </w:instrText>
        </w:r>
        <w:r w:rsidRPr="00A33A7C">
          <w:rPr>
            <w:rFonts w:ascii="Times New Roman" w:hAnsi="Times New Roman" w:cs="Times New Roman"/>
          </w:rPr>
          <w:fldChar w:fldCharType="separate"/>
        </w:r>
        <w:r>
          <w:rPr>
            <w:rFonts w:ascii="Times New Roman" w:hAnsi="Times New Roman" w:cs="Times New Roman"/>
            <w:noProof/>
          </w:rPr>
          <w:t>1</w:t>
        </w:r>
        <w:r w:rsidRPr="00A33A7C">
          <w:rPr>
            <w:rFonts w:ascii="Times New Roman" w:hAnsi="Times New Roman" w:cs="Times New Roman"/>
          </w:rPr>
          <w:fldChar w:fldCharType="end"/>
        </w:r>
        <w:r w:rsidRPr="00A33A7C">
          <w:rPr>
            <w:rFonts w:ascii="Times New Roman" w:hAnsi="Times New Roman" w:cs="Times New Roman"/>
          </w:rPr>
          <w:t xml:space="preserve"> of 2</w:t>
        </w:r>
      </w:p>
    </w:sdtContent>
  </w:sdt>
  <w:p w:rsidR="00D731DB" w:rsidRDefault="00D73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DB" w:rsidRDefault="00D731DB" w:rsidP="00D731DB">
      <w:pPr>
        <w:spacing w:after="0" w:line="240" w:lineRule="auto"/>
      </w:pPr>
      <w:r>
        <w:separator/>
      </w:r>
    </w:p>
  </w:footnote>
  <w:footnote w:type="continuationSeparator" w:id="0">
    <w:p w:rsidR="00D731DB" w:rsidRDefault="00D731DB" w:rsidP="00D73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6C0"/>
    <w:multiLevelType w:val="hybridMultilevel"/>
    <w:tmpl w:val="5E7ACB48"/>
    <w:lvl w:ilvl="0" w:tplc="33524C06">
      <w:start w:val="1"/>
      <w:numFmt w:val="upperRoman"/>
      <w:lvlText w:val="%1."/>
      <w:lvlJc w:val="left"/>
      <w:pPr>
        <w:tabs>
          <w:tab w:val="num" w:pos="1095"/>
        </w:tabs>
        <w:ind w:left="1095" w:hanging="7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rules v:ext="edit">
        <o:r id="V:Rule2" type="connector" idref="#_x0000_s2049"/>
      </o:rules>
    </o:shapelayout>
  </w:hdrShapeDefaults>
  <w:footnotePr>
    <w:footnote w:id="-1"/>
    <w:footnote w:id="0"/>
  </w:footnotePr>
  <w:endnotePr>
    <w:endnote w:id="-1"/>
    <w:endnote w:id="0"/>
  </w:endnotePr>
  <w:compat>
    <w:ulTrailSpace/>
  </w:compat>
  <w:rsids>
    <w:rsidRoot w:val="006A5D1A"/>
    <w:rsid w:val="000D5A8A"/>
    <w:rsid w:val="001232FD"/>
    <w:rsid w:val="00166261"/>
    <w:rsid w:val="001A5A7B"/>
    <w:rsid w:val="001D1831"/>
    <w:rsid w:val="001F4545"/>
    <w:rsid w:val="002C020A"/>
    <w:rsid w:val="002E386A"/>
    <w:rsid w:val="00401701"/>
    <w:rsid w:val="00416922"/>
    <w:rsid w:val="00446ED9"/>
    <w:rsid w:val="004577E0"/>
    <w:rsid w:val="004673CA"/>
    <w:rsid w:val="00485E71"/>
    <w:rsid w:val="00520AA0"/>
    <w:rsid w:val="005269AB"/>
    <w:rsid w:val="00611296"/>
    <w:rsid w:val="0068585A"/>
    <w:rsid w:val="006A5D1A"/>
    <w:rsid w:val="007003F0"/>
    <w:rsid w:val="007D58F9"/>
    <w:rsid w:val="009F43F3"/>
    <w:rsid w:val="00A33A7C"/>
    <w:rsid w:val="00A6101A"/>
    <w:rsid w:val="00AA4D1E"/>
    <w:rsid w:val="00C4685E"/>
    <w:rsid w:val="00C93312"/>
    <w:rsid w:val="00CB11A4"/>
    <w:rsid w:val="00D2076A"/>
    <w:rsid w:val="00D40D05"/>
    <w:rsid w:val="00D731DB"/>
    <w:rsid w:val="00D82F0F"/>
    <w:rsid w:val="00DF50B5"/>
    <w:rsid w:val="00E5664D"/>
    <w:rsid w:val="00E61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F0"/>
    <w:pPr>
      <w:ind w:left="720"/>
      <w:contextualSpacing/>
    </w:pPr>
  </w:style>
  <w:style w:type="paragraph" w:styleId="Header">
    <w:name w:val="header"/>
    <w:basedOn w:val="Normal"/>
    <w:link w:val="HeaderChar"/>
    <w:uiPriority w:val="99"/>
    <w:semiHidden/>
    <w:unhideWhenUsed/>
    <w:rsid w:val="00D73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1DB"/>
  </w:style>
  <w:style w:type="paragraph" w:styleId="Footer">
    <w:name w:val="footer"/>
    <w:basedOn w:val="Normal"/>
    <w:link w:val="FooterChar"/>
    <w:uiPriority w:val="99"/>
    <w:unhideWhenUsed/>
    <w:rsid w:val="00D73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D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lion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Res 2015-135 - HC emerg suspend-food</vt:lpstr>
    </vt:vector>
  </TitlesOfParts>
  <Company>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 2015-135 - HC emerg suspend-food</dc:title>
  <dc:creator>stephanie.zmuda</dc:creator>
  <cp:lastModifiedBy>Trish.Factor</cp:lastModifiedBy>
  <cp:revision>2</cp:revision>
  <cp:lastPrinted>2015-07-10T15:10:00Z</cp:lastPrinted>
  <dcterms:created xsi:type="dcterms:W3CDTF">2015-07-10T15:10:00Z</dcterms:created>
  <dcterms:modified xsi:type="dcterms:W3CDTF">2015-07-10T15:10:00Z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2015-06-11T00:00:00Z</vt:filetime>
  </property>
</Properties>
</file>