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55DA" w14:textId="77777777" w:rsidR="00C40D9E" w:rsidRDefault="00C40D9E" w:rsidP="00D65285"/>
    <w:p w14:paraId="3FB974B8" w14:textId="780CCB55" w:rsidR="008730E2" w:rsidRPr="009B51E6" w:rsidRDefault="008730E2" w:rsidP="008730E2">
      <w:pPr>
        <w:ind w:left="1440" w:hanging="1440"/>
        <w:jc w:val="both"/>
        <w:rPr>
          <w:rFonts w:ascii="Cambria" w:hAnsi="Cambria"/>
        </w:rPr>
      </w:pPr>
      <w:r w:rsidRPr="009B51E6">
        <w:rPr>
          <w:rFonts w:ascii="Cambria" w:hAnsi="Cambria"/>
        </w:rPr>
        <w:t>To:</w:t>
      </w:r>
      <w:r w:rsidRPr="009B51E6">
        <w:rPr>
          <w:rFonts w:ascii="Cambria" w:hAnsi="Cambria"/>
        </w:rPr>
        <w:tab/>
        <w:t xml:space="preserve">Food Service Operation and Retail Food Establishment </w:t>
      </w:r>
      <w:r w:rsidR="00AA6F3B">
        <w:rPr>
          <w:rFonts w:ascii="Cambria" w:hAnsi="Cambria"/>
        </w:rPr>
        <w:t xml:space="preserve">Mobile &amp; Vending </w:t>
      </w:r>
      <w:r w:rsidRPr="009B51E6">
        <w:rPr>
          <w:rFonts w:ascii="Cambria" w:hAnsi="Cambria"/>
        </w:rPr>
        <w:t>Licensees</w:t>
      </w:r>
    </w:p>
    <w:p w14:paraId="48BF9FAB" w14:textId="77777777" w:rsidR="008730E2" w:rsidRPr="009B51E6" w:rsidRDefault="008730E2" w:rsidP="008730E2">
      <w:pPr>
        <w:jc w:val="both"/>
        <w:rPr>
          <w:rFonts w:ascii="Cambria" w:hAnsi="Cambria"/>
        </w:rPr>
      </w:pPr>
    </w:p>
    <w:p w14:paraId="7A5D4161" w14:textId="652C0B6F" w:rsidR="008730E2" w:rsidRPr="009B51E6" w:rsidRDefault="00E509F6" w:rsidP="008730E2">
      <w:pPr>
        <w:jc w:val="both"/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A5E38">
        <w:rPr>
          <w:rFonts w:ascii="Cambria" w:hAnsi="Cambria"/>
        </w:rPr>
        <w:t>Andrea Barnes, R</w:t>
      </w:r>
      <w:r w:rsidR="003A4CF5">
        <w:rPr>
          <w:rFonts w:ascii="Cambria" w:hAnsi="Cambria"/>
        </w:rPr>
        <w:t>EHS,</w:t>
      </w:r>
      <w:r w:rsidR="001A5E38">
        <w:rPr>
          <w:rFonts w:ascii="Cambria" w:hAnsi="Cambria"/>
        </w:rPr>
        <w:t xml:space="preserve"> Director of Environmental Health</w:t>
      </w:r>
      <w:r w:rsidR="008730E2" w:rsidRPr="009B51E6">
        <w:rPr>
          <w:rFonts w:ascii="Cambria" w:hAnsi="Cambria"/>
        </w:rPr>
        <w:t xml:space="preserve">  </w:t>
      </w:r>
    </w:p>
    <w:p w14:paraId="66A21368" w14:textId="77777777" w:rsidR="008730E2" w:rsidRPr="009B51E6" w:rsidRDefault="008730E2" w:rsidP="008730E2">
      <w:pPr>
        <w:jc w:val="both"/>
        <w:rPr>
          <w:rFonts w:ascii="Cambria" w:hAnsi="Cambria"/>
        </w:rPr>
      </w:pPr>
    </w:p>
    <w:p w14:paraId="72CF6FA5" w14:textId="2D64B512" w:rsidR="008730E2" w:rsidRDefault="008730E2" w:rsidP="002B77BC">
      <w:pPr>
        <w:jc w:val="both"/>
        <w:rPr>
          <w:rFonts w:ascii="Cambria" w:hAnsi="Cambria"/>
        </w:rPr>
      </w:pPr>
      <w:r w:rsidRPr="00730C95">
        <w:rPr>
          <w:rFonts w:ascii="Cambria" w:hAnsi="Cambria"/>
        </w:rPr>
        <w:t>Date:</w:t>
      </w:r>
      <w:r w:rsidRPr="00730C95">
        <w:rPr>
          <w:rFonts w:ascii="Cambria" w:hAnsi="Cambria"/>
        </w:rPr>
        <w:tab/>
      </w:r>
      <w:r w:rsidRPr="00730C95">
        <w:rPr>
          <w:rFonts w:ascii="Cambria" w:hAnsi="Cambria"/>
        </w:rPr>
        <w:tab/>
      </w:r>
      <w:r w:rsidR="003A4CF5">
        <w:rPr>
          <w:rFonts w:ascii="Cambria" w:hAnsi="Cambria"/>
        </w:rPr>
        <w:t>December 17, 2021</w:t>
      </w:r>
    </w:p>
    <w:p w14:paraId="1AFAF83E" w14:textId="77777777" w:rsidR="002B77BC" w:rsidRPr="009B51E6" w:rsidRDefault="002B77BC" w:rsidP="002B77BC">
      <w:pPr>
        <w:jc w:val="both"/>
        <w:rPr>
          <w:rFonts w:ascii="Cambria" w:hAnsi="Cambria"/>
        </w:rPr>
      </w:pPr>
    </w:p>
    <w:p w14:paraId="29121A32" w14:textId="44AA1187" w:rsidR="008730E2" w:rsidRPr="009B51E6" w:rsidRDefault="00690B7D" w:rsidP="008730E2">
      <w:pPr>
        <w:ind w:left="1440" w:hanging="1440"/>
        <w:jc w:val="both"/>
        <w:rPr>
          <w:rFonts w:ascii="Cambria" w:hAnsi="Cambria"/>
        </w:rPr>
      </w:pPr>
      <w:r>
        <w:rPr>
          <w:rFonts w:ascii="Cambria" w:hAnsi="Cambria"/>
        </w:rPr>
        <w:t>Subject:</w:t>
      </w:r>
      <w:r>
        <w:rPr>
          <w:rFonts w:ascii="Cambria" w:hAnsi="Cambria"/>
        </w:rPr>
        <w:tab/>
        <w:t>20</w:t>
      </w:r>
      <w:r w:rsidR="0095256A">
        <w:rPr>
          <w:rFonts w:ascii="Cambria" w:hAnsi="Cambria"/>
        </w:rPr>
        <w:t>2</w:t>
      </w:r>
      <w:r w:rsidR="003A4CF5">
        <w:rPr>
          <w:rFonts w:ascii="Cambria" w:hAnsi="Cambria"/>
        </w:rPr>
        <w:t>2</w:t>
      </w:r>
      <w:r w:rsidR="008730E2" w:rsidRPr="009B51E6">
        <w:rPr>
          <w:rFonts w:ascii="Cambria" w:hAnsi="Cambria"/>
        </w:rPr>
        <w:t xml:space="preserve"> Proposed Fees and Public Hearing Announcement </w:t>
      </w:r>
    </w:p>
    <w:p w14:paraId="3683C86E" w14:textId="77777777" w:rsidR="008730E2" w:rsidRPr="009B51E6" w:rsidRDefault="008730E2" w:rsidP="008730E2">
      <w:pPr>
        <w:jc w:val="both"/>
        <w:rPr>
          <w:rFonts w:ascii="Cambria" w:hAnsi="Cambria"/>
        </w:rPr>
      </w:pPr>
    </w:p>
    <w:p w14:paraId="78ACFCBF" w14:textId="03E0C811" w:rsidR="008730E2" w:rsidRPr="009B51E6" w:rsidRDefault="008730E2" w:rsidP="008730E2">
      <w:pPr>
        <w:jc w:val="both"/>
        <w:rPr>
          <w:rFonts w:ascii="Cambria" w:hAnsi="Cambria"/>
        </w:rPr>
      </w:pPr>
      <w:r w:rsidRPr="009B51E6">
        <w:rPr>
          <w:rFonts w:ascii="Cambria" w:hAnsi="Cambria"/>
        </w:rPr>
        <w:t>The fees listed below are the proposed</w:t>
      </w:r>
      <w:r w:rsidR="00690B7D">
        <w:rPr>
          <w:rFonts w:ascii="Cambria" w:hAnsi="Cambria"/>
        </w:rPr>
        <w:t xml:space="preserve"> 20</w:t>
      </w:r>
      <w:r w:rsidR="0095256A">
        <w:rPr>
          <w:rFonts w:ascii="Cambria" w:hAnsi="Cambria"/>
        </w:rPr>
        <w:t>2</w:t>
      </w:r>
      <w:r w:rsidR="003A4CF5">
        <w:rPr>
          <w:rFonts w:ascii="Cambria" w:hAnsi="Cambria"/>
        </w:rPr>
        <w:t>2</w:t>
      </w:r>
      <w:r w:rsidR="001A5E38">
        <w:rPr>
          <w:rFonts w:ascii="Cambria" w:hAnsi="Cambria"/>
        </w:rPr>
        <w:t xml:space="preserve"> </w:t>
      </w:r>
      <w:r>
        <w:rPr>
          <w:rFonts w:ascii="Cambria" w:hAnsi="Cambria"/>
        </w:rPr>
        <w:t>license fees for f</w:t>
      </w:r>
      <w:r w:rsidRPr="009B51E6">
        <w:rPr>
          <w:rFonts w:ascii="Cambria" w:hAnsi="Cambria"/>
        </w:rPr>
        <w:t xml:space="preserve">ood </w:t>
      </w:r>
      <w:r>
        <w:rPr>
          <w:rFonts w:ascii="Cambria" w:hAnsi="Cambria"/>
        </w:rPr>
        <w:t>s</w:t>
      </w:r>
      <w:r w:rsidRPr="009B51E6">
        <w:rPr>
          <w:rFonts w:ascii="Cambria" w:hAnsi="Cambria"/>
        </w:rPr>
        <w:t xml:space="preserve">ervice </w:t>
      </w:r>
      <w:r>
        <w:rPr>
          <w:rFonts w:ascii="Cambria" w:hAnsi="Cambria"/>
        </w:rPr>
        <w:t>o</w:t>
      </w:r>
      <w:r w:rsidRPr="009B51E6">
        <w:rPr>
          <w:rFonts w:ascii="Cambria" w:hAnsi="Cambria"/>
        </w:rPr>
        <w:t>perations an</w:t>
      </w:r>
      <w:r>
        <w:rPr>
          <w:rFonts w:ascii="Cambria" w:hAnsi="Cambria"/>
        </w:rPr>
        <w:t xml:space="preserve">d retail food </w:t>
      </w:r>
      <w:r w:rsidR="0090658E">
        <w:rPr>
          <w:rFonts w:ascii="Cambria" w:hAnsi="Cambria"/>
        </w:rPr>
        <w:t>e</w:t>
      </w:r>
      <w:r>
        <w:rPr>
          <w:rFonts w:ascii="Cambria" w:hAnsi="Cambria"/>
        </w:rPr>
        <w:t>stablishments in</w:t>
      </w:r>
      <w:r w:rsidRPr="009B51E6">
        <w:rPr>
          <w:rFonts w:ascii="Cambria" w:hAnsi="Cambria"/>
        </w:rPr>
        <w:t xml:space="preserve"> the Galion City Health District.  A cost analysis has been performed in ac</w:t>
      </w:r>
      <w:r>
        <w:rPr>
          <w:rFonts w:ascii="Cambria" w:hAnsi="Cambria"/>
        </w:rPr>
        <w:t>cordance with state regulations</w:t>
      </w:r>
      <w:r w:rsidRPr="009B51E6">
        <w:rPr>
          <w:rFonts w:ascii="Cambria" w:hAnsi="Cambria"/>
        </w:rPr>
        <w:t xml:space="preserve"> and is the basis f</w:t>
      </w:r>
      <w:r>
        <w:rPr>
          <w:rFonts w:ascii="Cambria" w:hAnsi="Cambria"/>
        </w:rPr>
        <w:t>or</w:t>
      </w:r>
      <w:r w:rsidRPr="009B51E6">
        <w:rPr>
          <w:rFonts w:ascii="Cambria" w:hAnsi="Cambria"/>
        </w:rPr>
        <w:t xml:space="preserve"> the proposed fees.  </w:t>
      </w:r>
      <w:r>
        <w:rPr>
          <w:rFonts w:ascii="Cambria" w:hAnsi="Cambria"/>
        </w:rPr>
        <w:t>Fees will not be approved un</w:t>
      </w:r>
      <w:r w:rsidR="00C40D9E">
        <w:rPr>
          <w:rFonts w:ascii="Cambria" w:hAnsi="Cambria"/>
        </w:rPr>
        <w:t xml:space="preserve">til </w:t>
      </w:r>
      <w:r w:rsidR="00690B7D">
        <w:rPr>
          <w:rFonts w:ascii="Cambria" w:hAnsi="Cambria"/>
        </w:rPr>
        <w:t>an additional reading</w:t>
      </w:r>
      <w:r>
        <w:rPr>
          <w:rFonts w:ascii="Cambria" w:hAnsi="Cambria"/>
        </w:rPr>
        <w:t xml:space="preserve"> before the Board of Hea</w:t>
      </w:r>
      <w:r w:rsidR="00690B7D">
        <w:rPr>
          <w:rFonts w:ascii="Cambria" w:hAnsi="Cambria"/>
        </w:rPr>
        <w:t xml:space="preserve">lth </w:t>
      </w:r>
      <w:r>
        <w:rPr>
          <w:rFonts w:ascii="Cambria" w:hAnsi="Cambria"/>
        </w:rPr>
        <w:t>and a p</w:t>
      </w:r>
      <w:r w:rsidR="00690B7D">
        <w:rPr>
          <w:rFonts w:ascii="Cambria" w:hAnsi="Cambria"/>
        </w:rPr>
        <w:t>ublic hearing have taken place.</w:t>
      </w:r>
      <w:r>
        <w:rPr>
          <w:rFonts w:ascii="Cambria" w:hAnsi="Cambria"/>
        </w:rPr>
        <w:t xml:space="preserve"> </w:t>
      </w:r>
      <w:r w:rsidRPr="009B51E6">
        <w:rPr>
          <w:rFonts w:ascii="Cambria" w:hAnsi="Cambria"/>
        </w:rPr>
        <w:t>Actual fees will not exceed the proposed amounts listed below</w:t>
      </w:r>
      <w:r>
        <w:rPr>
          <w:rFonts w:ascii="Cambria" w:hAnsi="Cambria"/>
        </w:rPr>
        <w:t>.</w:t>
      </w:r>
      <w:r w:rsidRPr="009B51E6">
        <w:rPr>
          <w:rFonts w:ascii="Cambria" w:hAnsi="Cambria"/>
        </w:rPr>
        <w:t xml:space="preserve"> </w:t>
      </w:r>
    </w:p>
    <w:p w14:paraId="1F6934F5" w14:textId="77777777" w:rsidR="002B77BC" w:rsidRPr="009B51E6" w:rsidRDefault="002B77BC" w:rsidP="008730E2">
      <w:pPr>
        <w:jc w:val="both"/>
        <w:rPr>
          <w:rFonts w:ascii="Cambria" w:hAnsi="Cambria"/>
          <w:b/>
          <w:bCs/>
        </w:rPr>
      </w:pPr>
    </w:p>
    <w:p w14:paraId="2221615D" w14:textId="6831FA3A" w:rsidR="008730E2" w:rsidRPr="009B51E6" w:rsidRDefault="00690B7D" w:rsidP="008730E2">
      <w:pPr>
        <w:pStyle w:val="Title"/>
        <w:rPr>
          <w:rFonts w:ascii="Cambria" w:hAnsi="Cambria"/>
        </w:rPr>
      </w:pPr>
      <w:r>
        <w:rPr>
          <w:rFonts w:ascii="Cambria" w:hAnsi="Cambria"/>
          <w:sz w:val="22"/>
        </w:rPr>
        <w:t>PROPOSED 20</w:t>
      </w:r>
      <w:r w:rsidR="0095256A">
        <w:rPr>
          <w:rFonts w:ascii="Cambria" w:hAnsi="Cambria"/>
          <w:sz w:val="22"/>
        </w:rPr>
        <w:t>2</w:t>
      </w:r>
      <w:r w:rsidR="003A4CF5">
        <w:rPr>
          <w:rFonts w:ascii="Cambria" w:hAnsi="Cambria"/>
          <w:sz w:val="22"/>
        </w:rPr>
        <w:t>2</w:t>
      </w:r>
      <w:r w:rsidR="008A281A">
        <w:rPr>
          <w:rFonts w:ascii="Cambria" w:hAnsi="Cambria"/>
          <w:sz w:val="22"/>
        </w:rPr>
        <w:t xml:space="preserve"> </w:t>
      </w:r>
      <w:r w:rsidR="008730E2" w:rsidRPr="009B51E6">
        <w:rPr>
          <w:rFonts w:ascii="Cambria" w:hAnsi="Cambria"/>
          <w:sz w:val="22"/>
        </w:rPr>
        <w:t>FOOD FACILITY LICENSE FEES</w:t>
      </w:r>
      <w:r w:rsidR="008730E2">
        <w:rPr>
          <w:rFonts w:ascii="Cambria" w:hAnsi="Cambria"/>
          <w:sz w:val="22"/>
        </w:rPr>
        <w:t xml:space="preserve"> </w:t>
      </w:r>
    </w:p>
    <w:p w14:paraId="75A0F5C3" w14:textId="77777777" w:rsidR="008730E2" w:rsidRPr="009B51E6" w:rsidRDefault="008730E2" w:rsidP="008730E2">
      <w:pPr>
        <w:jc w:val="center"/>
        <w:rPr>
          <w:rFonts w:ascii="Cambria" w:hAnsi="Cambri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3870"/>
        <w:gridCol w:w="3807"/>
      </w:tblGrid>
      <w:tr w:rsidR="008730E2" w:rsidRPr="009B51E6" w14:paraId="5F16C9A1" w14:textId="77777777" w:rsidTr="0045385D">
        <w:trPr>
          <w:cantSplit/>
          <w:jc w:val="center"/>
        </w:trPr>
        <w:tc>
          <w:tcPr>
            <w:tcW w:w="1557" w:type="dxa"/>
          </w:tcPr>
          <w:p w14:paraId="3B0136E5" w14:textId="77777777" w:rsidR="008730E2" w:rsidRPr="009B51E6" w:rsidRDefault="008730E2" w:rsidP="008730E2">
            <w:pPr>
              <w:pStyle w:val="Heading1"/>
              <w:jc w:val="center"/>
              <w:rPr>
                <w:rFonts w:ascii="Cambria" w:hAnsi="Cambria"/>
              </w:rPr>
            </w:pPr>
          </w:p>
          <w:p w14:paraId="38A3CF2D" w14:textId="77777777" w:rsidR="008730E2" w:rsidRPr="009B51E6" w:rsidRDefault="008730E2" w:rsidP="008730E2">
            <w:pPr>
              <w:pStyle w:val="Heading1"/>
              <w:jc w:val="center"/>
              <w:rPr>
                <w:rFonts w:ascii="Cambria" w:hAnsi="Cambria"/>
              </w:rPr>
            </w:pPr>
            <w:r w:rsidRPr="009B51E6">
              <w:rPr>
                <w:rFonts w:ascii="Cambria" w:hAnsi="Cambria"/>
              </w:rPr>
              <w:t>Level</w:t>
            </w:r>
          </w:p>
        </w:tc>
        <w:tc>
          <w:tcPr>
            <w:tcW w:w="3870" w:type="dxa"/>
          </w:tcPr>
          <w:p w14:paraId="7F4FBEF8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14:paraId="315E3731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Businesses Under 25,000 Sq. Ft.</w:t>
            </w:r>
          </w:p>
        </w:tc>
        <w:tc>
          <w:tcPr>
            <w:tcW w:w="3807" w:type="dxa"/>
          </w:tcPr>
          <w:p w14:paraId="06781976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14:paraId="4875825B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Businesses Over 25,000 Sq. Ft.</w:t>
            </w:r>
          </w:p>
        </w:tc>
      </w:tr>
      <w:tr w:rsidR="008730E2" w:rsidRPr="009B51E6" w14:paraId="3E487CB8" w14:textId="77777777" w:rsidTr="0045385D">
        <w:trPr>
          <w:cantSplit/>
          <w:jc w:val="center"/>
        </w:trPr>
        <w:tc>
          <w:tcPr>
            <w:tcW w:w="1557" w:type="dxa"/>
          </w:tcPr>
          <w:p w14:paraId="084206E6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Risk Level I</w:t>
            </w:r>
          </w:p>
        </w:tc>
        <w:tc>
          <w:tcPr>
            <w:tcW w:w="3870" w:type="dxa"/>
          </w:tcPr>
          <w:p w14:paraId="680F5E20" w14:textId="0259C4ED" w:rsidR="008730E2" w:rsidRPr="0088675D" w:rsidRDefault="00E25358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D66F0B">
              <w:rPr>
                <w:rFonts w:ascii="Calibri" w:hAnsi="Calibri"/>
                <w:b/>
                <w:sz w:val="18"/>
              </w:rPr>
              <w:t>1</w:t>
            </w:r>
            <w:r w:rsidR="003A4CF5">
              <w:rPr>
                <w:rFonts w:ascii="Calibri" w:hAnsi="Calibri"/>
                <w:b/>
                <w:sz w:val="18"/>
              </w:rPr>
              <w:t>12</w:t>
            </w:r>
            <w:r w:rsidR="00111496">
              <w:rPr>
                <w:rFonts w:ascii="Calibri" w:hAnsi="Calibri"/>
                <w:b/>
                <w:sz w:val="18"/>
              </w:rPr>
              <w:t>.00</w:t>
            </w:r>
            <w:r w:rsidR="008730E2">
              <w:rPr>
                <w:rFonts w:ascii="Calibri" w:hAnsi="Calibri"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A4CF5">
              <w:rPr>
                <w:rFonts w:ascii="Calibri" w:hAnsi="Calibri"/>
                <w:bCs/>
                <w:sz w:val="18"/>
              </w:rPr>
              <w:t>140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  <w:tc>
          <w:tcPr>
            <w:tcW w:w="3807" w:type="dxa"/>
          </w:tcPr>
          <w:p w14:paraId="309AD0C9" w14:textId="3EBCFC6B" w:rsidR="0045385D" w:rsidRPr="0045385D" w:rsidRDefault="00E25358" w:rsidP="00026907">
            <w:pPr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A4CF5">
              <w:rPr>
                <w:rFonts w:ascii="Calibri" w:hAnsi="Calibri"/>
                <w:b/>
                <w:sz w:val="18"/>
              </w:rPr>
              <w:t>165</w:t>
            </w:r>
            <w:r w:rsidR="00A565E8">
              <w:rPr>
                <w:rFonts w:ascii="Calibri" w:hAnsi="Calibri"/>
                <w:b/>
                <w:sz w:val="18"/>
              </w:rPr>
              <w:t>.00</w:t>
            </w:r>
            <w:r w:rsidR="0045385D">
              <w:rPr>
                <w:rFonts w:ascii="Calibri" w:hAnsi="Calibri"/>
                <w:b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A4CF5">
              <w:rPr>
                <w:rFonts w:ascii="Calibri" w:hAnsi="Calibri"/>
                <w:bCs/>
                <w:sz w:val="18"/>
              </w:rPr>
              <w:t>193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</w:tr>
      <w:tr w:rsidR="008730E2" w:rsidRPr="009B51E6" w14:paraId="20572467" w14:textId="77777777" w:rsidTr="0045385D">
        <w:trPr>
          <w:cantSplit/>
          <w:jc w:val="center"/>
        </w:trPr>
        <w:tc>
          <w:tcPr>
            <w:tcW w:w="1557" w:type="dxa"/>
          </w:tcPr>
          <w:p w14:paraId="7DE5868B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Risk Level II</w:t>
            </w:r>
          </w:p>
        </w:tc>
        <w:tc>
          <w:tcPr>
            <w:tcW w:w="3870" w:type="dxa"/>
          </w:tcPr>
          <w:p w14:paraId="69676B52" w14:textId="5C2B6904" w:rsidR="008730E2" w:rsidRPr="0088675D" w:rsidRDefault="00E25358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A4CF5">
              <w:rPr>
                <w:rFonts w:ascii="Calibri" w:hAnsi="Calibri"/>
                <w:b/>
                <w:sz w:val="18"/>
              </w:rPr>
              <w:t>127</w:t>
            </w:r>
            <w:r w:rsidR="00A565E8">
              <w:rPr>
                <w:rFonts w:ascii="Calibri" w:hAnsi="Calibri"/>
                <w:b/>
                <w:sz w:val="18"/>
              </w:rPr>
              <w:t>.00</w:t>
            </w:r>
            <w:r w:rsidR="008730E2">
              <w:rPr>
                <w:rFonts w:ascii="Calibri" w:hAnsi="Calibri"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A4CF5">
              <w:rPr>
                <w:rFonts w:ascii="Calibri" w:hAnsi="Calibri"/>
                <w:bCs/>
                <w:sz w:val="18"/>
              </w:rPr>
              <w:t>155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  <w:tc>
          <w:tcPr>
            <w:tcW w:w="3807" w:type="dxa"/>
          </w:tcPr>
          <w:p w14:paraId="3F8D0720" w14:textId="64CA25F3" w:rsidR="008730E2" w:rsidRPr="0088675D" w:rsidRDefault="00E25358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F7271">
              <w:rPr>
                <w:rFonts w:ascii="Calibri" w:hAnsi="Calibri"/>
                <w:b/>
                <w:sz w:val="18"/>
              </w:rPr>
              <w:t>174</w:t>
            </w:r>
            <w:r w:rsidR="00A565E8">
              <w:rPr>
                <w:rFonts w:ascii="Calibri" w:hAnsi="Calibri"/>
                <w:b/>
                <w:sz w:val="18"/>
              </w:rPr>
              <w:t>.00</w:t>
            </w:r>
            <w:r w:rsidR="0045385D">
              <w:rPr>
                <w:rFonts w:ascii="Calibri" w:hAnsi="Calibri"/>
                <w:b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F7271">
              <w:rPr>
                <w:rFonts w:ascii="Calibri" w:hAnsi="Calibri"/>
                <w:bCs/>
                <w:sz w:val="18"/>
              </w:rPr>
              <w:t>202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</w:tr>
      <w:tr w:rsidR="008730E2" w:rsidRPr="009B51E6" w14:paraId="633B4E71" w14:textId="77777777" w:rsidTr="0045385D">
        <w:trPr>
          <w:cantSplit/>
          <w:jc w:val="center"/>
        </w:trPr>
        <w:tc>
          <w:tcPr>
            <w:tcW w:w="1557" w:type="dxa"/>
          </w:tcPr>
          <w:p w14:paraId="4A1C4BB9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Risk Level III</w:t>
            </w:r>
          </w:p>
        </w:tc>
        <w:tc>
          <w:tcPr>
            <w:tcW w:w="3870" w:type="dxa"/>
          </w:tcPr>
          <w:p w14:paraId="3A91DCE9" w14:textId="428201CD" w:rsidR="00690B7D" w:rsidRPr="00690B7D" w:rsidRDefault="00E25358" w:rsidP="00026907">
            <w:pPr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A4CF5">
              <w:rPr>
                <w:rFonts w:ascii="Calibri" w:hAnsi="Calibri"/>
                <w:b/>
                <w:sz w:val="18"/>
              </w:rPr>
              <w:t>249</w:t>
            </w:r>
            <w:r w:rsidR="00A565E8">
              <w:rPr>
                <w:rFonts w:ascii="Calibri" w:hAnsi="Calibri"/>
                <w:b/>
                <w:sz w:val="18"/>
              </w:rPr>
              <w:t>.00</w:t>
            </w:r>
            <w:r w:rsidR="0045385D">
              <w:rPr>
                <w:rFonts w:ascii="Calibri" w:hAnsi="Calibri"/>
                <w:b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A4CF5">
              <w:rPr>
                <w:rFonts w:ascii="Calibri" w:hAnsi="Calibri"/>
                <w:bCs/>
                <w:sz w:val="18"/>
              </w:rPr>
              <w:t>277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  <w:tc>
          <w:tcPr>
            <w:tcW w:w="3807" w:type="dxa"/>
          </w:tcPr>
          <w:p w14:paraId="08D4B548" w14:textId="53A94243" w:rsidR="008730E2" w:rsidRPr="0088675D" w:rsidRDefault="00E25358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F7271">
              <w:rPr>
                <w:rFonts w:ascii="Calibri" w:hAnsi="Calibri"/>
                <w:b/>
                <w:sz w:val="18"/>
              </w:rPr>
              <w:t>633</w:t>
            </w:r>
            <w:r w:rsidR="00033F69">
              <w:rPr>
                <w:rFonts w:ascii="Calibri" w:hAnsi="Calibri"/>
                <w:b/>
                <w:sz w:val="18"/>
              </w:rPr>
              <w:t>.</w:t>
            </w:r>
            <w:r w:rsidR="00A565E8">
              <w:rPr>
                <w:rFonts w:ascii="Calibri" w:hAnsi="Calibri"/>
                <w:b/>
                <w:sz w:val="18"/>
              </w:rPr>
              <w:t>00</w:t>
            </w:r>
            <w:r w:rsidR="0045385D">
              <w:rPr>
                <w:rFonts w:ascii="Calibri" w:hAnsi="Calibri"/>
                <w:b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F7271">
              <w:rPr>
                <w:rFonts w:ascii="Calibri" w:hAnsi="Calibri"/>
                <w:bCs/>
                <w:sz w:val="18"/>
              </w:rPr>
              <w:t>661</w:t>
            </w:r>
            <w:r w:rsidR="00033F69">
              <w:rPr>
                <w:rFonts w:ascii="Calibri" w:hAnsi="Calibri"/>
                <w:bCs/>
                <w:sz w:val="18"/>
              </w:rPr>
              <w:t>.00</w:t>
            </w:r>
          </w:p>
        </w:tc>
      </w:tr>
      <w:tr w:rsidR="008730E2" w:rsidRPr="009B51E6" w14:paraId="45B721D0" w14:textId="77777777" w:rsidTr="0045385D">
        <w:trPr>
          <w:cantSplit/>
          <w:jc w:val="center"/>
        </w:trPr>
        <w:tc>
          <w:tcPr>
            <w:tcW w:w="1557" w:type="dxa"/>
          </w:tcPr>
          <w:p w14:paraId="753D233C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Risk Level IV</w:t>
            </w:r>
          </w:p>
        </w:tc>
        <w:tc>
          <w:tcPr>
            <w:tcW w:w="3870" w:type="dxa"/>
          </w:tcPr>
          <w:p w14:paraId="457D9B00" w14:textId="19FB03E4" w:rsidR="00690B7D" w:rsidRPr="00690B7D" w:rsidRDefault="00E25358" w:rsidP="00026907">
            <w:pPr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A4CF5">
              <w:rPr>
                <w:rFonts w:ascii="Calibri" w:hAnsi="Calibri"/>
                <w:b/>
                <w:sz w:val="18"/>
              </w:rPr>
              <w:t>318</w:t>
            </w:r>
            <w:r w:rsidR="00A565E8">
              <w:rPr>
                <w:rFonts w:ascii="Calibri" w:hAnsi="Calibri"/>
                <w:b/>
                <w:sz w:val="18"/>
              </w:rPr>
              <w:t>.00</w:t>
            </w:r>
            <w:r w:rsidR="008730E2">
              <w:rPr>
                <w:rFonts w:ascii="Calibri" w:hAnsi="Calibri"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A4CF5">
              <w:rPr>
                <w:rFonts w:ascii="Calibri" w:hAnsi="Calibri"/>
                <w:bCs/>
                <w:sz w:val="18"/>
              </w:rPr>
              <w:t>346</w:t>
            </w:r>
            <w:r w:rsidR="00A565E8">
              <w:rPr>
                <w:rFonts w:ascii="Calibri" w:hAnsi="Calibri"/>
                <w:bCs/>
                <w:sz w:val="18"/>
              </w:rPr>
              <w:t>.00</w:t>
            </w:r>
          </w:p>
        </w:tc>
        <w:tc>
          <w:tcPr>
            <w:tcW w:w="3807" w:type="dxa"/>
          </w:tcPr>
          <w:p w14:paraId="7EB01F8B" w14:textId="27982227" w:rsidR="008730E2" w:rsidRPr="0088675D" w:rsidRDefault="00E25358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F7271">
              <w:rPr>
                <w:rFonts w:ascii="Calibri" w:hAnsi="Calibri"/>
                <w:b/>
                <w:sz w:val="18"/>
              </w:rPr>
              <w:t>672</w:t>
            </w:r>
            <w:r w:rsidR="00033F69">
              <w:rPr>
                <w:rFonts w:ascii="Calibri" w:hAnsi="Calibri"/>
                <w:b/>
                <w:sz w:val="18"/>
              </w:rPr>
              <w:t>.00</w:t>
            </w:r>
            <w:r w:rsidR="0045385D">
              <w:rPr>
                <w:rFonts w:ascii="Calibri" w:hAnsi="Calibri"/>
                <w:b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F7271">
              <w:rPr>
                <w:rFonts w:ascii="Calibri" w:hAnsi="Calibri"/>
                <w:bCs/>
                <w:sz w:val="18"/>
              </w:rPr>
              <w:t>700</w:t>
            </w:r>
            <w:r w:rsidR="00033F69">
              <w:rPr>
                <w:rFonts w:ascii="Calibri" w:hAnsi="Calibri"/>
                <w:bCs/>
                <w:sz w:val="18"/>
              </w:rPr>
              <w:t>.00</w:t>
            </w:r>
          </w:p>
        </w:tc>
      </w:tr>
      <w:tr w:rsidR="008730E2" w:rsidRPr="009B51E6" w14:paraId="4398A940" w14:textId="77777777" w:rsidTr="00033F69">
        <w:trPr>
          <w:cantSplit/>
          <w:trHeight w:val="305"/>
          <w:jc w:val="center"/>
        </w:trPr>
        <w:tc>
          <w:tcPr>
            <w:tcW w:w="1557" w:type="dxa"/>
          </w:tcPr>
          <w:p w14:paraId="1D990E64" w14:textId="0C3E5D28" w:rsidR="008730E2" w:rsidRPr="009B51E6" w:rsidRDefault="00AA6F3B" w:rsidP="00AA6F3B">
            <w:pPr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t xml:space="preserve">       </w:t>
            </w:r>
            <w:r w:rsidR="008730E2" w:rsidRPr="009B51E6">
              <w:rPr>
                <w:rFonts w:ascii="Cambria" w:hAnsi="Cambria"/>
                <w:b/>
                <w:bCs/>
                <w:sz w:val="18"/>
              </w:rPr>
              <w:t xml:space="preserve">Mobile </w:t>
            </w:r>
          </w:p>
        </w:tc>
        <w:tc>
          <w:tcPr>
            <w:tcW w:w="7677" w:type="dxa"/>
            <w:gridSpan w:val="2"/>
          </w:tcPr>
          <w:p w14:paraId="13C9E667" w14:textId="7A058C08" w:rsidR="008730E2" w:rsidRPr="004320C1" w:rsidRDefault="00E25358" w:rsidP="000269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3F7271">
              <w:rPr>
                <w:rFonts w:ascii="Calibri" w:hAnsi="Calibri"/>
                <w:b/>
                <w:sz w:val="18"/>
              </w:rPr>
              <w:t>54.92</w:t>
            </w:r>
            <w:r w:rsidR="008730E2" w:rsidRPr="0088675D">
              <w:rPr>
                <w:rFonts w:ascii="Calibri" w:hAnsi="Calibri"/>
                <w:sz w:val="18"/>
              </w:rPr>
              <w:t xml:space="preserve"> </w:t>
            </w:r>
            <w:r w:rsidR="0045385D">
              <w:rPr>
                <w:rFonts w:ascii="Calibri" w:hAnsi="Calibri"/>
                <w:bCs/>
                <w:sz w:val="18"/>
              </w:rPr>
              <w:t xml:space="preserve">+ 28.00 State Fee = </w:t>
            </w:r>
            <w:r w:rsidR="0045385D" w:rsidRPr="00EE30AD">
              <w:rPr>
                <w:rFonts w:ascii="Calibri" w:hAnsi="Calibri"/>
                <w:bCs/>
                <w:sz w:val="18"/>
              </w:rPr>
              <w:t>$</w:t>
            </w:r>
            <w:r w:rsidR="003F7271">
              <w:rPr>
                <w:rFonts w:ascii="Calibri" w:hAnsi="Calibri"/>
                <w:bCs/>
                <w:sz w:val="18"/>
              </w:rPr>
              <w:t>82.92</w:t>
            </w:r>
          </w:p>
        </w:tc>
      </w:tr>
      <w:tr w:rsidR="008730E2" w:rsidRPr="009B51E6" w14:paraId="2AB2A364" w14:textId="77777777" w:rsidTr="0045385D">
        <w:trPr>
          <w:cantSplit/>
          <w:jc w:val="center"/>
        </w:trPr>
        <w:tc>
          <w:tcPr>
            <w:tcW w:w="1557" w:type="dxa"/>
          </w:tcPr>
          <w:p w14:paraId="52A1E00E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 xml:space="preserve">Temporary </w:t>
            </w:r>
          </w:p>
        </w:tc>
        <w:tc>
          <w:tcPr>
            <w:tcW w:w="7677" w:type="dxa"/>
            <w:gridSpan w:val="2"/>
          </w:tcPr>
          <w:p w14:paraId="271D50D4" w14:textId="2EEF93F8" w:rsidR="008730E2" w:rsidRPr="0088675D" w:rsidRDefault="0045385D" w:rsidP="008730E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$</w:t>
            </w:r>
            <w:r w:rsidR="003F7271">
              <w:rPr>
                <w:rFonts w:ascii="Calibri" w:hAnsi="Calibri"/>
                <w:b/>
                <w:bCs/>
                <w:sz w:val="18"/>
              </w:rPr>
              <w:t>64</w:t>
            </w:r>
            <w:r w:rsidR="008730E2" w:rsidRPr="00713301">
              <w:rPr>
                <w:rFonts w:ascii="Calibri" w:hAnsi="Calibri"/>
                <w:b/>
                <w:bCs/>
                <w:sz w:val="18"/>
              </w:rPr>
              <w:t>.00</w:t>
            </w:r>
            <w:r w:rsidR="008730E2">
              <w:rPr>
                <w:rFonts w:ascii="Calibri" w:hAnsi="Calibri"/>
                <w:bCs/>
                <w:sz w:val="18"/>
              </w:rPr>
              <w:t xml:space="preserve"> + 0.00 State Fee = </w:t>
            </w:r>
            <w:r w:rsidR="008730E2" w:rsidRPr="00EE30AD">
              <w:rPr>
                <w:rFonts w:ascii="Calibri" w:hAnsi="Calibri"/>
                <w:bCs/>
                <w:sz w:val="18"/>
              </w:rPr>
              <w:t>$</w:t>
            </w:r>
            <w:r w:rsidR="003F7271">
              <w:rPr>
                <w:rFonts w:ascii="Calibri" w:hAnsi="Calibri"/>
                <w:bCs/>
                <w:sz w:val="18"/>
              </w:rPr>
              <w:t>64</w:t>
            </w:r>
            <w:r w:rsidR="008730E2">
              <w:rPr>
                <w:rFonts w:ascii="Calibri" w:hAnsi="Calibri"/>
                <w:bCs/>
                <w:sz w:val="18"/>
              </w:rPr>
              <w:t xml:space="preserve">.00 </w:t>
            </w:r>
            <w:r w:rsidR="008730E2" w:rsidRPr="00EE30AD">
              <w:rPr>
                <w:rFonts w:ascii="Calibri" w:hAnsi="Calibri"/>
                <w:bCs/>
                <w:sz w:val="18"/>
              </w:rPr>
              <w:t>per event up to five (5) days</w:t>
            </w:r>
          </w:p>
        </w:tc>
      </w:tr>
      <w:tr w:rsidR="008730E2" w:rsidRPr="009B51E6" w14:paraId="2E2ACEDB" w14:textId="77777777" w:rsidTr="0045385D">
        <w:trPr>
          <w:cantSplit/>
          <w:jc w:val="center"/>
        </w:trPr>
        <w:tc>
          <w:tcPr>
            <w:tcW w:w="1557" w:type="dxa"/>
          </w:tcPr>
          <w:p w14:paraId="22330D05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Vending</w:t>
            </w:r>
          </w:p>
        </w:tc>
        <w:tc>
          <w:tcPr>
            <w:tcW w:w="7677" w:type="dxa"/>
            <w:gridSpan w:val="2"/>
          </w:tcPr>
          <w:p w14:paraId="1B873C8E" w14:textId="2403D4AA" w:rsidR="008730E2" w:rsidRPr="0088675D" w:rsidRDefault="0045385D" w:rsidP="000269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$</w:t>
            </w:r>
            <w:r w:rsidR="00D66F0B">
              <w:rPr>
                <w:rFonts w:ascii="Calibri" w:hAnsi="Calibri"/>
                <w:b/>
                <w:sz w:val="18"/>
              </w:rPr>
              <w:t>3</w:t>
            </w:r>
            <w:r w:rsidR="003F7271">
              <w:rPr>
                <w:rFonts w:ascii="Calibri" w:hAnsi="Calibri"/>
                <w:b/>
                <w:sz w:val="18"/>
              </w:rPr>
              <w:t>6</w:t>
            </w:r>
            <w:r w:rsidR="00D66F0B">
              <w:rPr>
                <w:rFonts w:ascii="Calibri" w:hAnsi="Calibri"/>
                <w:b/>
                <w:sz w:val="18"/>
              </w:rPr>
              <w:t>.</w:t>
            </w:r>
            <w:r w:rsidR="003F7271">
              <w:rPr>
                <w:rFonts w:ascii="Calibri" w:hAnsi="Calibri"/>
                <w:b/>
                <w:sz w:val="18"/>
              </w:rPr>
              <w:t>35</w:t>
            </w:r>
            <w:r w:rsidR="008730E2" w:rsidRPr="0088675D">
              <w:rPr>
                <w:rFonts w:ascii="Calibri" w:hAnsi="Calibri"/>
                <w:sz w:val="18"/>
              </w:rPr>
              <w:t xml:space="preserve"> + 6.00 State Fee = </w:t>
            </w:r>
            <w:r w:rsidR="008730E2" w:rsidRPr="00EE30AD">
              <w:rPr>
                <w:rFonts w:ascii="Calibri" w:hAnsi="Calibri"/>
                <w:sz w:val="18"/>
              </w:rPr>
              <w:t>$</w:t>
            </w:r>
            <w:r w:rsidR="003F7271">
              <w:rPr>
                <w:rFonts w:ascii="Calibri" w:hAnsi="Calibri"/>
                <w:sz w:val="18"/>
              </w:rPr>
              <w:t>42.35</w:t>
            </w:r>
            <w:r w:rsidR="008730E2">
              <w:rPr>
                <w:rFonts w:ascii="Calibri" w:hAnsi="Calibri"/>
                <w:sz w:val="18"/>
              </w:rPr>
              <w:t xml:space="preserve"> </w:t>
            </w:r>
            <w:r w:rsidR="008730E2" w:rsidRPr="00EE30AD">
              <w:rPr>
                <w:rFonts w:ascii="Calibri" w:hAnsi="Calibri"/>
                <w:sz w:val="18"/>
              </w:rPr>
              <w:t>Per Location</w:t>
            </w:r>
            <w:r w:rsidR="008730E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8730E2" w:rsidRPr="009B51E6" w14:paraId="51B83400" w14:textId="77777777" w:rsidTr="0045385D">
        <w:trPr>
          <w:cantSplit/>
          <w:jc w:val="center"/>
        </w:trPr>
        <w:tc>
          <w:tcPr>
            <w:tcW w:w="1557" w:type="dxa"/>
          </w:tcPr>
          <w:p w14:paraId="3B4E7509" w14:textId="77777777" w:rsidR="008730E2" w:rsidRPr="009B51E6" w:rsidRDefault="008730E2" w:rsidP="008730E2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9B51E6">
              <w:rPr>
                <w:rFonts w:ascii="Cambria" w:hAnsi="Cambria"/>
                <w:b/>
                <w:bCs/>
                <w:sz w:val="18"/>
              </w:rPr>
              <w:t>Plan Review</w:t>
            </w:r>
          </w:p>
        </w:tc>
        <w:tc>
          <w:tcPr>
            <w:tcW w:w="7677" w:type="dxa"/>
            <w:gridSpan w:val="2"/>
          </w:tcPr>
          <w:p w14:paraId="4BECAD11" w14:textId="77777777" w:rsidR="008730E2" w:rsidRDefault="008730E2" w:rsidP="008730E2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5</w:t>
            </w:r>
            <w:r w:rsidRPr="0088675D">
              <w:rPr>
                <w:rFonts w:ascii="Calibri" w:hAnsi="Calibri"/>
                <w:b/>
                <w:bCs/>
                <w:sz w:val="18"/>
              </w:rPr>
              <w:t xml:space="preserve">0% of applicable </w:t>
            </w:r>
            <w:r>
              <w:rPr>
                <w:rFonts w:ascii="Calibri" w:hAnsi="Calibri"/>
                <w:b/>
                <w:bCs/>
                <w:sz w:val="18"/>
              </w:rPr>
              <w:t xml:space="preserve">local </w:t>
            </w:r>
            <w:r w:rsidRPr="0088675D">
              <w:rPr>
                <w:rFonts w:ascii="Calibri" w:hAnsi="Calibri"/>
                <w:b/>
                <w:bCs/>
                <w:sz w:val="18"/>
              </w:rPr>
              <w:t>license fee for risk level</w:t>
            </w:r>
          </w:p>
        </w:tc>
      </w:tr>
    </w:tbl>
    <w:p w14:paraId="22AFC123" w14:textId="77777777" w:rsidR="002B77BC" w:rsidRDefault="0045385D" w:rsidP="002B77BC">
      <w:pPr>
        <w:pStyle w:val="Heading1"/>
        <w:spacing w:line="240" w:lineRule="auto"/>
        <w:ind w:firstLine="720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L</w:t>
      </w:r>
      <w:r w:rsidR="008730E2">
        <w:rPr>
          <w:rFonts w:ascii="Cambria" w:hAnsi="Cambria"/>
          <w:b w:val="0"/>
          <w:sz w:val="18"/>
          <w:szCs w:val="18"/>
        </w:rPr>
        <w:t>ocal license fees</w:t>
      </w:r>
      <w:r>
        <w:rPr>
          <w:rFonts w:ascii="Cambria" w:hAnsi="Cambria"/>
          <w:b w:val="0"/>
          <w:sz w:val="18"/>
          <w:szCs w:val="18"/>
        </w:rPr>
        <w:t xml:space="preserve"> in </w:t>
      </w:r>
      <w:r>
        <w:rPr>
          <w:rFonts w:ascii="Cambria" w:hAnsi="Cambria"/>
          <w:sz w:val="18"/>
          <w:szCs w:val="18"/>
        </w:rPr>
        <w:t>bold type</w:t>
      </w:r>
    </w:p>
    <w:p w14:paraId="4B912D16" w14:textId="77777777" w:rsidR="008730E2" w:rsidRPr="00C40D9E" w:rsidRDefault="002B77BC" w:rsidP="002B77BC">
      <w:pPr>
        <w:pStyle w:val="Heading1"/>
        <w:spacing w:line="240" w:lineRule="auto"/>
        <w:ind w:firstLine="720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S</w:t>
      </w:r>
      <w:r w:rsidR="00C40D9E">
        <w:rPr>
          <w:rFonts w:ascii="Cambria" w:hAnsi="Cambria"/>
          <w:b w:val="0"/>
          <w:sz w:val="18"/>
          <w:szCs w:val="18"/>
        </w:rPr>
        <w:t>tate fees must be remitted to Ohio Department of Agriculture</w:t>
      </w:r>
      <w:r>
        <w:rPr>
          <w:rFonts w:ascii="Cambria" w:hAnsi="Cambria"/>
          <w:b w:val="0"/>
          <w:sz w:val="18"/>
          <w:szCs w:val="18"/>
        </w:rPr>
        <w:t xml:space="preserve"> (retail) or </w:t>
      </w:r>
      <w:r w:rsidR="00C40D9E">
        <w:rPr>
          <w:rFonts w:ascii="Cambria" w:hAnsi="Cambria"/>
          <w:b w:val="0"/>
          <w:sz w:val="18"/>
          <w:szCs w:val="18"/>
        </w:rPr>
        <w:t>Health</w:t>
      </w:r>
      <w:r>
        <w:rPr>
          <w:rFonts w:ascii="Cambria" w:hAnsi="Cambria"/>
          <w:b w:val="0"/>
          <w:sz w:val="18"/>
          <w:szCs w:val="18"/>
        </w:rPr>
        <w:t xml:space="preserve"> (food service)</w:t>
      </w:r>
    </w:p>
    <w:p w14:paraId="1B7B88E0" w14:textId="77777777" w:rsidR="00E509F6" w:rsidRDefault="0045385D" w:rsidP="0045385D">
      <w:pPr>
        <w:rPr>
          <w:rFonts w:ascii="Cambria" w:hAnsi="Cambria"/>
        </w:rPr>
      </w:pPr>
      <w:r>
        <w:tab/>
      </w:r>
    </w:p>
    <w:p w14:paraId="1934D077" w14:textId="09964193" w:rsidR="002B77BC" w:rsidRDefault="002B77BC" w:rsidP="008730E2">
      <w:pPr>
        <w:jc w:val="both"/>
        <w:rPr>
          <w:rFonts w:ascii="Cambria" w:hAnsi="Cambria"/>
        </w:rPr>
      </w:pPr>
    </w:p>
    <w:p w14:paraId="1A2E1902" w14:textId="0D9F81D2" w:rsidR="008730E2" w:rsidRPr="009B51E6" w:rsidRDefault="008730E2" w:rsidP="008730E2">
      <w:pPr>
        <w:jc w:val="both"/>
        <w:rPr>
          <w:rFonts w:ascii="Cambria" w:hAnsi="Cambria"/>
        </w:rPr>
      </w:pPr>
      <w:r w:rsidRPr="00730C95">
        <w:rPr>
          <w:rFonts w:ascii="Cambria" w:hAnsi="Cambria"/>
        </w:rPr>
        <w:t xml:space="preserve">A public hearing for discussion of the proposed fees will be held </w:t>
      </w:r>
      <w:r w:rsidR="00AA6F3B">
        <w:rPr>
          <w:rFonts w:ascii="Cambria" w:hAnsi="Cambria"/>
        </w:rPr>
        <w:t xml:space="preserve">by </w:t>
      </w:r>
      <w:r w:rsidRPr="00730C95">
        <w:rPr>
          <w:rFonts w:ascii="Cambria" w:hAnsi="Cambria"/>
        </w:rPr>
        <w:t>the Galion City Health Department</w:t>
      </w:r>
      <w:r w:rsidR="00AA6F3B">
        <w:rPr>
          <w:rFonts w:ascii="Cambria" w:hAnsi="Cambria"/>
        </w:rPr>
        <w:t xml:space="preserve"> </w:t>
      </w:r>
      <w:r w:rsidRPr="00730C95">
        <w:rPr>
          <w:rFonts w:ascii="Cambria" w:hAnsi="Cambria"/>
        </w:rPr>
        <w:t xml:space="preserve">at </w:t>
      </w:r>
      <w:r w:rsidR="001A5E38" w:rsidRPr="00730C95">
        <w:rPr>
          <w:rFonts w:ascii="Cambria" w:hAnsi="Cambria"/>
        </w:rPr>
        <w:t>5:00p.m</w:t>
      </w:r>
      <w:r w:rsidRPr="00730C95">
        <w:rPr>
          <w:rFonts w:ascii="Cambria" w:hAnsi="Cambria"/>
        </w:rPr>
        <w:t xml:space="preserve">. on Tuesday, </w:t>
      </w:r>
      <w:r w:rsidR="003F7271">
        <w:rPr>
          <w:rFonts w:ascii="Cambria" w:hAnsi="Cambria"/>
        </w:rPr>
        <w:t xml:space="preserve">January </w:t>
      </w:r>
      <w:r w:rsidR="00FA37BC">
        <w:rPr>
          <w:rFonts w:ascii="Cambria" w:hAnsi="Cambria"/>
        </w:rPr>
        <w:t>11</w:t>
      </w:r>
      <w:r w:rsidR="0095256A">
        <w:rPr>
          <w:rFonts w:ascii="Cambria" w:hAnsi="Cambria"/>
        </w:rPr>
        <w:t>, 20</w:t>
      </w:r>
      <w:r w:rsidR="008A281A">
        <w:rPr>
          <w:rFonts w:ascii="Cambria" w:hAnsi="Cambria"/>
        </w:rPr>
        <w:t>2</w:t>
      </w:r>
      <w:r w:rsidR="00FA37BC">
        <w:rPr>
          <w:rFonts w:ascii="Cambria" w:hAnsi="Cambria"/>
        </w:rPr>
        <w:t xml:space="preserve">2.  You may join the meeting at 113 Harding Way East, Galion, Ohio 44833.  You may also provide written concerns by phone or email below.  </w:t>
      </w:r>
    </w:p>
    <w:p w14:paraId="758228E8" w14:textId="77777777" w:rsidR="008730E2" w:rsidRPr="009B51E6" w:rsidRDefault="008730E2" w:rsidP="008730E2">
      <w:pPr>
        <w:jc w:val="both"/>
        <w:rPr>
          <w:rFonts w:ascii="Cambria" w:hAnsi="Cambria"/>
        </w:rPr>
      </w:pPr>
    </w:p>
    <w:p w14:paraId="1D683B8D" w14:textId="77777777" w:rsidR="008730E2" w:rsidRPr="009B51E6" w:rsidRDefault="008730E2" w:rsidP="008730E2">
      <w:pPr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  <w:u w:val="double"/>
        </w:rPr>
        <w:t xml:space="preserve">PLEASE </w:t>
      </w:r>
      <w:r w:rsidRPr="009B51E6">
        <w:rPr>
          <w:rFonts w:ascii="Cambria" w:hAnsi="Cambria"/>
          <w:b/>
          <w:bCs/>
          <w:u w:val="double"/>
        </w:rPr>
        <w:t>DO NOT PAY ANY FEES AT THIS TIME</w:t>
      </w:r>
      <w:r w:rsidRPr="009B51E6">
        <w:rPr>
          <w:rFonts w:ascii="Cambria" w:hAnsi="Cambria"/>
          <w:b/>
          <w:bCs/>
        </w:rPr>
        <w:t xml:space="preserve">.  </w:t>
      </w:r>
      <w:r w:rsidRPr="009B51E6">
        <w:rPr>
          <w:rFonts w:ascii="Cambria" w:hAnsi="Cambria"/>
          <w:bCs/>
        </w:rPr>
        <w:t xml:space="preserve">This is not a fees due notice.  Applications will be sent to you </w:t>
      </w:r>
      <w:proofErr w:type="gramStart"/>
      <w:r w:rsidRPr="009B51E6">
        <w:rPr>
          <w:rFonts w:ascii="Cambria" w:hAnsi="Cambria"/>
          <w:bCs/>
        </w:rPr>
        <w:t>at a later date</w:t>
      </w:r>
      <w:proofErr w:type="gramEnd"/>
      <w:r w:rsidRPr="009B51E6">
        <w:rPr>
          <w:rFonts w:ascii="Cambria" w:hAnsi="Cambria"/>
          <w:bCs/>
        </w:rPr>
        <w:t xml:space="preserve">. </w:t>
      </w:r>
    </w:p>
    <w:p w14:paraId="42C16005" w14:textId="77777777" w:rsidR="008730E2" w:rsidRPr="009B51E6" w:rsidRDefault="008730E2" w:rsidP="008730E2">
      <w:pPr>
        <w:jc w:val="both"/>
        <w:rPr>
          <w:rFonts w:ascii="Cambria" w:hAnsi="Cambria"/>
        </w:rPr>
      </w:pPr>
    </w:p>
    <w:p w14:paraId="44133616" w14:textId="13146D19" w:rsidR="008730E2" w:rsidRPr="00CD4A9B" w:rsidRDefault="008730E2" w:rsidP="008730E2">
      <w:pPr>
        <w:jc w:val="both"/>
        <w:rPr>
          <w:rFonts w:ascii="Cambria" w:hAnsi="Cambria"/>
        </w:rPr>
      </w:pPr>
      <w:r w:rsidRPr="009B51E6">
        <w:rPr>
          <w:rFonts w:ascii="Cambria" w:hAnsi="Cambria"/>
        </w:rPr>
        <w:t xml:space="preserve">Please feel free to </w:t>
      </w:r>
      <w:r>
        <w:rPr>
          <w:rFonts w:ascii="Cambria" w:hAnsi="Cambria"/>
        </w:rPr>
        <w:t>contact me with any questions or concerns:</w:t>
      </w:r>
    </w:p>
    <w:p w14:paraId="300ED2BE" w14:textId="77777777" w:rsidR="008730E2" w:rsidRDefault="008730E2" w:rsidP="008730E2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Phone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419-468-</w:t>
      </w:r>
      <w:r w:rsidRPr="00427A59">
        <w:rPr>
          <w:rFonts w:ascii="Cambria" w:hAnsi="Cambria"/>
        </w:rPr>
        <w:t>1075 ext</w:t>
      </w:r>
      <w:r>
        <w:rPr>
          <w:rFonts w:ascii="Cambria" w:hAnsi="Cambria"/>
        </w:rPr>
        <w:t>. 126</w:t>
      </w:r>
      <w:r w:rsidR="00690B7D">
        <w:rPr>
          <w:rFonts w:ascii="Cambria" w:hAnsi="Cambria"/>
        </w:rPr>
        <w:t>5</w:t>
      </w:r>
    </w:p>
    <w:p w14:paraId="43B79A51" w14:textId="6E377110" w:rsidR="008730E2" w:rsidRDefault="008730E2" w:rsidP="008730E2">
      <w:pPr>
        <w:jc w:val="both"/>
        <w:rPr>
          <w:rFonts w:ascii="Cambria" w:hAnsi="Cambria"/>
        </w:rPr>
      </w:pPr>
      <w:r w:rsidRPr="00427A59">
        <w:rPr>
          <w:rFonts w:ascii="Cambria" w:hAnsi="Cambria"/>
          <w:b/>
        </w:rPr>
        <w:t>E-mail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hyperlink r:id="rId6" w:history="1">
        <w:r w:rsidR="001A5E38" w:rsidRPr="00286AFA">
          <w:rPr>
            <w:rStyle w:val="Hyperlink"/>
            <w:rFonts w:ascii="Cambria" w:hAnsi="Cambria"/>
          </w:rPr>
          <w:t>andrea.barnes@galionhealth.org</w:t>
        </w:r>
      </w:hyperlink>
      <w:r w:rsidR="00026907">
        <w:rPr>
          <w:rFonts w:ascii="Cambria" w:hAnsi="Cambria"/>
        </w:rPr>
        <w:tab/>
      </w:r>
    </w:p>
    <w:p w14:paraId="75A7E05A" w14:textId="77777777" w:rsidR="00C40D9E" w:rsidRPr="00427A59" w:rsidRDefault="00C40D9E" w:rsidP="008730E2">
      <w:pPr>
        <w:jc w:val="both"/>
        <w:rPr>
          <w:rFonts w:ascii="Cambria" w:hAnsi="Cambria"/>
        </w:rPr>
      </w:pPr>
    </w:p>
    <w:sectPr w:rsidR="00C40D9E" w:rsidRPr="00427A59" w:rsidSect="00D24243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B4C7" w14:textId="77777777" w:rsidR="00FA329B" w:rsidRDefault="00FA329B" w:rsidP="00D24243">
      <w:r>
        <w:separator/>
      </w:r>
    </w:p>
  </w:endnote>
  <w:endnote w:type="continuationSeparator" w:id="0">
    <w:p w14:paraId="48C3A131" w14:textId="77777777" w:rsidR="00FA329B" w:rsidRDefault="00FA329B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CF1C" w14:textId="77777777" w:rsidR="00FA329B" w:rsidRDefault="00FA329B" w:rsidP="00D24243">
      <w:r>
        <w:separator/>
      </w:r>
    </w:p>
  </w:footnote>
  <w:footnote w:type="continuationSeparator" w:id="0">
    <w:p w14:paraId="2A1E8F73" w14:textId="77777777" w:rsidR="00FA329B" w:rsidRDefault="00FA329B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AAEC" w14:textId="5432F0F0" w:rsidR="00FA329B" w:rsidRDefault="009E40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0C01C1" wp14:editId="4F56E8EF">
              <wp:simplePos x="0" y="0"/>
              <wp:positionH relativeFrom="column">
                <wp:posOffset>-741680</wp:posOffset>
              </wp:positionH>
              <wp:positionV relativeFrom="paragraph">
                <wp:posOffset>-275590</wp:posOffset>
              </wp:positionV>
              <wp:extent cx="7323455" cy="1663700"/>
              <wp:effectExtent l="1270" t="635" r="0" b="254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3455" cy="1663700"/>
                        <a:chOff x="272" y="286"/>
                        <a:chExt cx="11533" cy="2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197" y="1624"/>
                          <a:ext cx="2409" cy="1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D362" w14:textId="77777777" w:rsidR="00FA329B" w:rsidRPr="00E956C7" w:rsidRDefault="00FA329B" w:rsidP="00D24243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113 Harding Way East</w:t>
                            </w:r>
                          </w:p>
                          <w:p w14:paraId="08FD1C24" w14:textId="77777777" w:rsidR="00FA329B" w:rsidRPr="00E956C7" w:rsidRDefault="00FA329B" w:rsidP="00D24243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Galion, Ohio 44833</w:t>
                            </w:r>
                          </w:p>
                          <w:p w14:paraId="712D33C4" w14:textId="77777777" w:rsidR="00FA329B" w:rsidRPr="00592E20" w:rsidRDefault="00FA329B" w:rsidP="00D24243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75" y="1624"/>
                          <a:ext cx="2400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8F03" w14:textId="77777777" w:rsidR="00FA329B" w:rsidRPr="00E956C7" w:rsidRDefault="00FA329B" w:rsidP="00D24243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Phone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419.468.1075</w:t>
                            </w:r>
                          </w:p>
                          <w:p w14:paraId="2FE814C5" w14:textId="77777777" w:rsidR="00FA329B" w:rsidRPr="00E956C7" w:rsidRDefault="00FA329B" w:rsidP="00D24243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Fax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419.468.8618</w:t>
                            </w:r>
                          </w:p>
                          <w:p w14:paraId="7571A99F" w14:textId="77777777" w:rsidR="00FA329B" w:rsidRPr="00E956C7" w:rsidRDefault="00FA329B" w:rsidP="00D24243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www.galionhealth.org</w:t>
                            </w:r>
                          </w:p>
                          <w:p w14:paraId="248533B9" w14:textId="77777777" w:rsidR="00FA329B" w:rsidRPr="00E47FDC" w:rsidRDefault="00FA329B" w:rsidP="00D24243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251DF688" w14:textId="77777777" w:rsidR="00FA329B" w:rsidRPr="00E47FDC" w:rsidRDefault="00FA329B" w:rsidP="00D24243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452" y="2597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272" y="286"/>
                          <a:ext cx="180" cy="2620"/>
                        </a:xfrm>
                        <a:prstGeom prst="rect">
                          <a:avLst/>
                        </a:prstGeom>
                        <a:solidFill>
                          <a:srgbClr val="CAD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C01C1" id="Group 7" o:spid="_x0000_s1026" style="position:absolute;margin-left:-58.4pt;margin-top:-21.7pt;width:576.65pt;height:131pt;z-index:251662336" coordorigin="272,286" coordsize="11533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197;top:1624;width:2409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D1FD362" w14:textId="77777777" w:rsidR="00FA329B" w:rsidRPr="00E956C7" w:rsidRDefault="00FA329B" w:rsidP="00D24243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113 Harding Way East</w:t>
                      </w:r>
                    </w:p>
                    <w:p w14:paraId="08FD1C24" w14:textId="77777777" w:rsidR="00FA329B" w:rsidRPr="00E956C7" w:rsidRDefault="00FA329B" w:rsidP="00D24243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Galion, Ohio 44833</w:t>
                      </w:r>
                    </w:p>
                    <w:p w14:paraId="712D33C4" w14:textId="77777777" w:rsidR="00FA329B" w:rsidRPr="00592E20" w:rsidRDefault="00FA329B" w:rsidP="00D24243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8975;top:1624;width:240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C518F03" w14:textId="77777777" w:rsidR="00FA329B" w:rsidRPr="00E956C7" w:rsidRDefault="00FA329B" w:rsidP="00D24243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Phone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419.468.1075</w:t>
                      </w:r>
                    </w:p>
                    <w:p w14:paraId="2FE814C5" w14:textId="77777777" w:rsidR="00FA329B" w:rsidRPr="00E956C7" w:rsidRDefault="00FA329B" w:rsidP="00D24243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Fax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419.468.8618</w:t>
                      </w:r>
                    </w:p>
                    <w:p w14:paraId="7571A99F" w14:textId="77777777" w:rsidR="00FA329B" w:rsidRPr="00E956C7" w:rsidRDefault="00FA329B" w:rsidP="00D24243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www.galionhealth.org</w:t>
                      </w:r>
                    </w:p>
                    <w:p w14:paraId="248533B9" w14:textId="77777777" w:rsidR="00FA329B" w:rsidRPr="00E47FDC" w:rsidRDefault="00FA329B" w:rsidP="00D24243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251DF688" w14:textId="77777777" w:rsidR="00FA329B" w:rsidRPr="00E47FDC" w:rsidRDefault="00FA329B" w:rsidP="00D24243">
                      <w:pPr>
                        <w:pStyle w:val="phfax"/>
                      </w:pPr>
                    </w:p>
                  </w:txbxContent>
                </v:textbox>
              </v:shape>
              <v:rect id="Rectangle 4" o:spid="_x0000_s1029" style="position:absolute;left:452;top:2597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rect id="Rectangle 5" o:spid="_x0000_s1030" style="position:absolute;left:272;top:286;width:180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" fillcolor="#cadb36" stroked="f"/>
            </v:group>
          </w:pict>
        </mc:Fallback>
      </mc:AlternateContent>
    </w:r>
    <w:r w:rsidR="00FA329B" w:rsidRPr="00D24243">
      <w:rPr>
        <w:noProof/>
      </w:rPr>
      <w:drawing>
        <wp:anchor distT="0" distB="0" distL="114300" distR="114300" simplePos="0" relativeHeight="251657215" behindDoc="0" locked="0" layoutInCell="1" allowOverlap="1" wp14:anchorId="61AC11DE" wp14:editId="213659CD">
          <wp:simplePos x="0" y="0"/>
          <wp:positionH relativeFrom="column">
            <wp:posOffset>-342900</wp:posOffset>
          </wp:positionH>
          <wp:positionV relativeFrom="paragraph">
            <wp:posOffset>-53340</wp:posOffset>
          </wp:positionV>
          <wp:extent cx="2192020" cy="1350010"/>
          <wp:effectExtent l="19050" t="0" r="0" b="0"/>
          <wp:wrapThrough wrapText="bothSides">
            <wp:wrapPolygon edited="0">
              <wp:start x="-188" y="0"/>
              <wp:lineTo x="-188" y="21336"/>
              <wp:lineTo x="21587" y="21336"/>
              <wp:lineTo x="21587" y="0"/>
              <wp:lineTo x="-188" y="0"/>
            </wp:wrapPolygon>
          </wp:wrapThrough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3"/>
    <w:rsid w:val="00026907"/>
    <w:rsid w:val="00033F69"/>
    <w:rsid w:val="000B04EC"/>
    <w:rsid w:val="00111496"/>
    <w:rsid w:val="00111A99"/>
    <w:rsid w:val="0018144F"/>
    <w:rsid w:val="001A5E38"/>
    <w:rsid w:val="00262CB0"/>
    <w:rsid w:val="00273094"/>
    <w:rsid w:val="00295144"/>
    <w:rsid w:val="002B77BC"/>
    <w:rsid w:val="002C4CDA"/>
    <w:rsid w:val="002F5791"/>
    <w:rsid w:val="003A4CF5"/>
    <w:rsid w:val="003F7271"/>
    <w:rsid w:val="0045385D"/>
    <w:rsid w:val="00585C5C"/>
    <w:rsid w:val="005C5B73"/>
    <w:rsid w:val="006201C6"/>
    <w:rsid w:val="00690B7D"/>
    <w:rsid w:val="006B5C23"/>
    <w:rsid w:val="00730C95"/>
    <w:rsid w:val="00735A95"/>
    <w:rsid w:val="007C4ADB"/>
    <w:rsid w:val="007E63DC"/>
    <w:rsid w:val="00840242"/>
    <w:rsid w:val="0084152C"/>
    <w:rsid w:val="008730E2"/>
    <w:rsid w:val="008A281A"/>
    <w:rsid w:val="0090658E"/>
    <w:rsid w:val="0095256A"/>
    <w:rsid w:val="009B40E7"/>
    <w:rsid w:val="009E4085"/>
    <w:rsid w:val="00A17D27"/>
    <w:rsid w:val="00A565E8"/>
    <w:rsid w:val="00A74EEA"/>
    <w:rsid w:val="00A92B0A"/>
    <w:rsid w:val="00AA6F3B"/>
    <w:rsid w:val="00AF4207"/>
    <w:rsid w:val="00AF6CA6"/>
    <w:rsid w:val="00B950BF"/>
    <w:rsid w:val="00C32A43"/>
    <w:rsid w:val="00C40D9E"/>
    <w:rsid w:val="00D24243"/>
    <w:rsid w:val="00D65285"/>
    <w:rsid w:val="00D66F0B"/>
    <w:rsid w:val="00DB01DC"/>
    <w:rsid w:val="00E12C80"/>
    <w:rsid w:val="00E25358"/>
    <w:rsid w:val="00E509F6"/>
    <w:rsid w:val="00E711E5"/>
    <w:rsid w:val="00FA04E6"/>
    <w:rsid w:val="00FA329B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13A198"/>
  <w15:docId w15:val="{2A6A72C2-546A-4B5E-A5FF-CC041E8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paragraph" w:styleId="Heading1">
    <w:name w:val="heading 1"/>
    <w:basedOn w:val="Normal"/>
    <w:next w:val="Normal"/>
    <w:link w:val="Heading1Char"/>
    <w:qFormat/>
    <w:rsid w:val="008730E2"/>
    <w:pPr>
      <w:keepNext/>
      <w:spacing w:line="36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0E2"/>
    <w:rPr>
      <w:rFonts w:ascii="Arial" w:eastAsia="Times New Roman" w:hAnsi="Arial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730E2"/>
    <w:pPr>
      <w:jc w:val="center"/>
    </w:pPr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730E2"/>
    <w:rPr>
      <w:rFonts w:ascii="Arial" w:eastAsia="Times New Roman" w:hAnsi="Arial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C40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rnes@galion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Roston</dc:creator>
  <cp:lastModifiedBy>Andrea Barnes</cp:lastModifiedBy>
  <cp:revision>2</cp:revision>
  <cp:lastPrinted>2021-12-17T22:35:00Z</cp:lastPrinted>
  <dcterms:created xsi:type="dcterms:W3CDTF">2021-12-17T22:44:00Z</dcterms:created>
  <dcterms:modified xsi:type="dcterms:W3CDTF">2021-12-17T22:44:00Z</dcterms:modified>
</cp:coreProperties>
</file>