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C7A" w14:textId="77777777" w:rsidR="00DB0309" w:rsidRPr="00DB0309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0309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30949" wp14:editId="236823BE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D1F0F" w14:textId="77777777" w:rsidR="00DB0309" w:rsidRPr="00DB0309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>Galion</w:t>
      </w:r>
      <w:r w:rsidRPr="00DB0309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City</w:t>
      </w:r>
      <w:r w:rsidRPr="00DB0309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DB0309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of</w:t>
      </w:r>
      <w:r w:rsidRPr="00DB0309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w w:val="104"/>
          <w:sz w:val="24"/>
          <w:szCs w:val="24"/>
        </w:rPr>
        <w:t>Health</w:t>
      </w:r>
    </w:p>
    <w:p w14:paraId="732D5B03" w14:textId="684506B9" w:rsidR="00DB0309" w:rsidRPr="00DB0309" w:rsidRDefault="00DB0309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 xml:space="preserve">Health Commissioners Monthly Report for </w:t>
      </w:r>
      <w:r w:rsidR="003F603B">
        <w:rPr>
          <w:rFonts w:ascii="Arial" w:eastAsia="Arial" w:hAnsi="Arial" w:cs="Arial"/>
          <w:b/>
          <w:bCs/>
          <w:sz w:val="24"/>
          <w:szCs w:val="24"/>
        </w:rPr>
        <w:t>February 2022</w:t>
      </w:r>
    </w:p>
    <w:p w14:paraId="2E0976C1" w14:textId="77777777" w:rsidR="00DB0309" w:rsidRPr="00DB0309" w:rsidRDefault="00DB0309" w:rsidP="00DB0309">
      <w:pPr>
        <w:widowControl w:val="0"/>
        <w:spacing w:after="0" w:line="20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3C1D9CE9" w14:textId="77777777" w:rsidR="00DB0309" w:rsidRPr="00DB0309" w:rsidRDefault="00DB0309" w:rsidP="00DB0309">
      <w:pPr>
        <w:widowControl w:val="0"/>
        <w:spacing w:after="0" w:line="26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57196578" w14:textId="77777777" w:rsidR="00DB0309" w:rsidRPr="00DB0309" w:rsidRDefault="00DB030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Arial" w:hAnsi="Arial" w:cs="Arial"/>
          <w:b/>
          <w:sz w:val="20"/>
          <w:szCs w:val="20"/>
        </w:rPr>
      </w:pPr>
    </w:p>
    <w:p w14:paraId="045689BC" w14:textId="0AA5BB25" w:rsidR="00DB0309" w:rsidRPr="00CA1C33" w:rsidRDefault="008117A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Fiscal/</w:t>
      </w:r>
      <w:r w:rsidR="00DB0309" w:rsidRPr="00CA1C33">
        <w:rPr>
          <w:rFonts w:eastAsia="Calibri" w:cstheme="minorHAnsi"/>
          <w:b/>
        </w:rPr>
        <w:t>Funding</w:t>
      </w:r>
    </w:p>
    <w:p w14:paraId="130937E3" w14:textId="77777777" w:rsidR="00907985" w:rsidRPr="00CA1C33" w:rsidRDefault="00907985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eastAsia="Calibri" w:cstheme="minorHAnsi"/>
          <w:b/>
        </w:rPr>
      </w:pPr>
    </w:p>
    <w:p w14:paraId="685622D5" w14:textId="7C7CD977" w:rsidR="00D3735E" w:rsidRPr="00CA1C33" w:rsidRDefault="003C50BE" w:rsidP="00D3735E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Olivia is keeping on top of our budget.  She is really doing a superb job with the grants, paying bills, and assisting with explaining when we need to ask for appropriations.  We were able to complete a budget revision for the Workforce Development Grant</w:t>
      </w:r>
      <w:r w:rsidR="00DB4229">
        <w:rPr>
          <w:rFonts w:eastAsia="Calibri" w:cstheme="minorHAnsi"/>
        </w:rPr>
        <w:t xml:space="preserve"> as well.</w:t>
      </w:r>
    </w:p>
    <w:p w14:paraId="0C2C1407" w14:textId="77777777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71A945C" w14:textId="77777777" w:rsidR="00DB0309" w:rsidRPr="00CA1C33" w:rsidRDefault="00DB0309" w:rsidP="00907985">
      <w:pPr>
        <w:spacing w:after="0" w:line="240" w:lineRule="auto"/>
        <w:rPr>
          <w:rFonts w:eastAsia="Calibri" w:cstheme="minorHAnsi"/>
        </w:rPr>
      </w:pPr>
    </w:p>
    <w:p w14:paraId="01BA6B9C" w14:textId="308597E4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Emergency Preparedness</w:t>
      </w:r>
    </w:p>
    <w:p w14:paraId="1020D614" w14:textId="77777777" w:rsidR="00D3735E" w:rsidRPr="00CA1C33" w:rsidRDefault="00D3735E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6CEF39B4" w14:textId="67AF654C" w:rsidR="00D3735E" w:rsidRDefault="006B0BFE" w:rsidP="00D3735E">
      <w:pPr>
        <w:spacing w:after="0" w:line="240" w:lineRule="auto"/>
        <w:ind w:left="-630"/>
        <w:rPr>
          <w:rFonts w:eastAsia="Calibri" w:cstheme="minorHAnsi"/>
        </w:rPr>
      </w:pPr>
      <w:r w:rsidRPr="00CA1C33">
        <w:rPr>
          <w:rFonts w:eastAsia="Calibri" w:cstheme="minorHAnsi"/>
        </w:rPr>
        <w:t xml:space="preserve">GCHD is still offering </w:t>
      </w:r>
      <w:r w:rsidR="009058E4">
        <w:rPr>
          <w:rFonts w:eastAsia="Calibri" w:cstheme="minorHAnsi"/>
        </w:rPr>
        <w:t xml:space="preserve">both </w:t>
      </w:r>
      <w:r w:rsidRPr="00CA1C33">
        <w:rPr>
          <w:rFonts w:eastAsia="Calibri" w:cstheme="minorHAnsi"/>
        </w:rPr>
        <w:t xml:space="preserve">the COVID-19 Moderna </w:t>
      </w:r>
      <w:r w:rsidR="006E2CAD">
        <w:rPr>
          <w:rFonts w:eastAsia="Calibri" w:cstheme="minorHAnsi"/>
        </w:rPr>
        <w:t xml:space="preserve">&amp; Pfizer </w:t>
      </w:r>
      <w:r w:rsidRPr="00CA1C33">
        <w:rPr>
          <w:rFonts w:eastAsia="Calibri" w:cstheme="minorHAnsi"/>
        </w:rPr>
        <w:t>two</w:t>
      </w:r>
      <w:r w:rsidR="006E2CAD">
        <w:rPr>
          <w:rFonts w:eastAsia="Calibri" w:cstheme="minorHAnsi"/>
        </w:rPr>
        <w:t>-</w:t>
      </w:r>
      <w:r w:rsidRPr="00CA1C33">
        <w:rPr>
          <w:rFonts w:eastAsia="Calibri" w:cstheme="minorHAnsi"/>
        </w:rPr>
        <w:t>dose vaccine</w:t>
      </w:r>
      <w:r w:rsidR="000C6426">
        <w:rPr>
          <w:rFonts w:eastAsia="Calibri" w:cstheme="minorHAnsi"/>
        </w:rPr>
        <w:t xml:space="preserve"> plus boosters.</w:t>
      </w:r>
      <w:r w:rsidR="00B27D2D" w:rsidRPr="00CA1C33">
        <w:rPr>
          <w:rFonts w:eastAsia="Calibri" w:cstheme="minorHAnsi"/>
        </w:rPr>
        <w:t xml:space="preserve">  The state still wants LHD’s to vaccinate our communities, promote the vaccine</w:t>
      </w:r>
      <w:r w:rsidR="00F748B3">
        <w:rPr>
          <w:rFonts w:eastAsia="Calibri" w:cstheme="minorHAnsi"/>
        </w:rPr>
        <w:t xml:space="preserve"> and boosters</w:t>
      </w:r>
      <w:r w:rsidR="00B27D2D" w:rsidRPr="00CA1C33">
        <w:rPr>
          <w:rFonts w:eastAsia="Calibri" w:cstheme="minorHAnsi"/>
        </w:rPr>
        <w:t xml:space="preserve">, and go to the people to get it done. </w:t>
      </w:r>
      <w:r w:rsidR="00943C04">
        <w:rPr>
          <w:rFonts w:eastAsia="Calibri" w:cstheme="minorHAnsi"/>
        </w:rPr>
        <w:t xml:space="preserve">The Pfizer is also being </w:t>
      </w:r>
      <w:r w:rsidR="006848F0">
        <w:rPr>
          <w:rFonts w:eastAsia="Calibri" w:cstheme="minorHAnsi"/>
        </w:rPr>
        <w:t>offer</w:t>
      </w:r>
      <w:r w:rsidR="00A0223D">
        <w:rPr>
          <w:rFonts w:eastAsia="Calibri" w:cstheme="minorHAnsi"/>
        </w:rPr>
        <w:t>ed</w:t>
      </w:r>
      <w:r w:rsidR="006848F0">
        <w:rPr>
          <w:rFonts w:eastAsia="Calibri" w:cstheme="minorHAnsi"/>
        </w:rPr>
        <w:t xml:space="preserve"> to</w:t>
      </w:r>
      <w:r w:rsidR="00A0223D">
        <w:rPr>
          <w:rFonts w:eastAsia="Calibri" w:cstheme="minorHAnsi"/>
        </w:rPr>
        <w:t xml:space="preserve"> the</w:t>
      </w:r>
      <w:r w:rsidR="006848F0">
        <w:rPr>
          <w:rFonts w:eastAsia="Calibri" w:cstheme="minorHAnsi"/>
        </w:rPr>
        <w:t xml:space="preserve"> </w:t>
      </w:r>
      <w:proofErr w:type="gramStart"/>
      <w:r w:rsidR="009959D8">
        <w:rPr>
          <w:rFonts w:eastAsia="Calibri" w:cstheme="minorHAnsi"/>
        </w:rPr>
        <w:t>5</w:t>
      </w:r>
      <w:r w:rsidR="006848F0">
        <w:rPr>
          <w:rFonts w:eastAsia="Calibri" w:cstheme="minorHAnsi"/>
        </w:rPr>
        <w:t>-17 year old</w:t>
      </w:r>
      <w:proofErr w:type="gramEnd"/>
      <w:r w:rsidR="006848F0">
        <w:rPr>
          <w:rFonts w:eastAsia="Calibri" w:cstheme="minorHAnsi"/>
        </w:rPr>
        <w:t xml:space="preserve"> population at </w:t>
      </w:r>
      <w:r w:rsidR="00834818">
        <w:rPr>
          <w:rFonts w:eastAsia="Calibri" w:cstheme="minorHAnsi"/>
        </w:rPr>
        <w:t>all clinics.</w:t>
      </w:r>
      <w:r w:rsidR="000C750E" w:rsidRPr="00CA1C33">
        <w:rPr>
          <w:rFonts w:eastAsia="Calibri" w:cstheme="minorHAnsi"/>
        </w:rPr>
        <w:t xml:space="preserve">  GCHD will continue to promote the availability of the vaccine for anyone who wants it. </w:t>
      </w:r>
      <w:r w:rsidR="004B5B80">
        <w:rPr>
          <w:rFonts w:eastAsia="Calibri" w:cstheme="minorHAnsi"/>
        </w:rPr>
        <w:t xml:space="preserve">GCHD </w:t>
      </w:r>
      <w:r w:rsidR="004667E5">
        <w:rPr>
          <w:rFonts w:eastAsia="Calibri" w:cstheme="minorHAnsi"/>
        </w:rPr>
        <w:t>will purchase more</w:t>
      </w:r>
      <w:r w:rsidR="000C750E" w:rsidRPr="00CA1C33">
        <w:rPr>
          <w:rFonts w:eastAsia="Calibri" w:cstheme="minorHAnsi"/>
        </w:rPr>
        <w:t xml:space="preserve"> </w:t>
      </w:r>
      <w:r w:rsidR="00A0223D">
        <w:rPr>
          <w:rFonts w:eastAsia="Calibri" w:cstheme="minorHAnsi"/>
        </w:rPr>
        <w:t xml:space="preserve">Covid-19 </w:t>
      </w:r>
      <w:r w:rsidR="004B5B80">
        <w:rPr>
          <w:rFonts w:eastAsia="Calibri" w:cstheme="minorHAnsi"/>
        </w:rPr>
        <w:t>incentive gift cards for anyone receiving their first dose of Covid-19 vaccine</w:t>
      </w:r>
      <w:r w:rsidR="004667E5">
        <w:rPr>
          <w:rFonts w:eastAsia="Calibri" w:cstheme="minorHAnsi"/>
        </w:rPr>
        <w:t xml:space="preserve"> in March through the CN22 grant</w:t>
      </w:r>
      <w:r w:rsidR="004B5B80">
        <w:rPr>
          <w:rFonts w:eastAsia="Calibri" w:cstheme="minorHAnsi"/>
        </w:rPr>
        <w:t>.</w:t>
      </w:r>
      <w:r w:rsidR="009959D8">
        <w:rPr>
          <w:rFonts w:eastAsia="Calibri" w:cstheme="minorHAnsi"/>
        </w:rPr>
        <w:t xml:space="preserve">  </w:t>
      </w:r>
    </w:p>
    <w:p w14:paraId="5B57AF6D" w14:textId="77777777" w:rsidR="00086BE5" w:rsidRDefault="00086BE5" w:rsidP="00E9686A">
      <w:pPr>
        <w:spacing w:after="0" w:line="240" w:lineRule="auto"/>
        <w:rPr>
          <w:rFonts w:eastAsia="Calibri" w:cstheme="minorHAnsi"/>
          <w:b/>
          <w:bCs/>
        </w:rPr>
      </w:pPr>
    </w:p>
    <w:p w14:paraId="32E8E70A" w14:textId="3AAB5E91" w:rsidR="008117A9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  <w:r w:rsidRPr="00CA1C33">
        <w:rPr>
          <w:rFonts w:eastAsia="Calibri" w:cstheme="minorHAnsi"/>
          <w:b/>
          <w:bCs/>
        </w:rPr>
        <w:t>Staff</w:t>
      </w:r>
    </w:p>
    <w:p w14:paraId="42B197B1" w14:textId="32154961" w:rsidR="00EA389E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75ACCD2D" w14:textId="70967C9C" w:rsidR="00EA389E" w:rsidRDefault="004667E5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On February 25</w:t>
      </w:r>
      <w:r w:rsidRPr="004667E5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>, I was more than happy to welcome Jason McBride aboard to be our new health commissioner</w:t>
      </w:r>
      <w:r w:rsidR="00086BE5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  We are looking forward to working with him to move our health </w:t>
      </w:r>
      <w:r w:rsidR="009B54AC">
        <w:rPr>
          <w:rFonts w:eastAsia="Calibri" w:cstheme="minorHAnsi"/>
        </w:rPr>
        <w:t xml:space="preserve">department in the right direction.  </w:t>
      </w:r>
    </w:p>
    <w:p w14:paraId="742E9F89" w14:textId="3BAB31F2" w:rsidR="00893F89" w:rsidRDefault="00893F89" w:rsidP="00DB0309">
      <w:pPr>
        <w:spacing w:after="0" w:line="240" w:lineRule="auto"/>
        <w:ind w:left="-630"/>
        <w:rPr>
          <w:rFonts w:eastAsia="Calibri" w:cstheme="minorHAnsi"/>
        </w:rPr>
      </w:pPr>
    </w:p>
    <w:p w14:paraId="31A7EF66" w14:textId="58ED9C86" w:rsidR="00893F89" w:rsidRDefault="009B54AC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Unfortunately, we have been so busy, we have not been able to have a staff meeting since December, but that will change once we become fully staffed.</w:t>
      </w:r>
    </w:p>
    <w:p w14:paraId="7070CD7F" w14:textId="328875CD" w:rsidR="00AD77C3" w:rsidRDefault="00AD77C3" w:rsidP="00DB0309">
      <w:pPr>
        <w:spacing w:after="0" w:line="240" w:lineRule="auto"/>
        <w:ind w:left="-630"/>
        <w:rPr>
          <w:rFonts w:eastAsia="Calibri" w:cstheme="minorHAnsi"/>
        </w:rPr>
      </w:pPr>
    </w:p>
    <w:p w14:paraId="147EE947" w14:textId="10F9ADA8" w:rsidR="00DB0309" w:rsidRPr="00CA1C33" w:rsidRDefault="00DB0309" w:rsidP="009B54AC">
      <w:pPr>
        <w:spacing w:after="0" w:line="240" w:lineRule="auto"/>
        <w:rPr>
          <w:rFonts w:eastAsia="Calibri" w:cstheme="minorHAnsi"/>
          <w:b/>
        </w:rPr>
      </w:pPr>
    </w:p>
    <w:p w14:paraId="63C7F7C5" w14:textId="5ABF6FF8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Accreditation</w:t>
      </w:r>
    </w:p>
    <w:p w14:paraId="0B12BE9D" w14:textId="5AF1089B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BE3FA32" w14:textId="05172CAB" w:rsidR="00907985" w:rsidRPr="00CA1C33" w:rsidRDefault="009B54AC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PHAB has informed us that our site visit report is going to the accreditation committee on March 9, </w:t>
      </w:r>
      <w:proofErr w:type="gramStart"/>
      <w:r>
        <w:rPr>
          <w:rFonts w:eastAsia="Calibri" w:cstheme="minorHAnsi"/>
        </w:rPr>
        <w:t>2022</w:t>
      </w:r>
      <w:proofErr w:type="gramEnd"/>
      <w:r>
        <w:rPr>
          <w:rFonts w:eastAsia="Calibri" w:cstheme="minorHAnsi"/>
        </w:rPr>
        <w:t xml:space="preserve"> which is later that we were originally told but FINALLY.  I have reviewed the site visit report and some of the comments and determined that we had 46 fully demonstrated measures, 36 largely demonstrated measures, 15 slightly demonstrated measures</w:t>
      </w:r>
      <w:r w:rsidR="003048AC">
        <w:rPr>
          <w:rFonts w:eastAsia="Calibri" w:cstheme="minorHAnsi"/>
        </w:rPr>
        <w:t>, and 3 that were not demonstrated.  It is almost certain that we will be put on an action plan for a year like many LHD’s in Ohio did with the initial site visit.</w:t>
      </w:r>
    </w:p>
    <w:p w14:paraId="24C08DD8" w14:textId="77777777" w:rsidR="008117A9" w:rsidRPr="00DB0309" w:rsidRDefault="008117A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0A0E65C6" w14:textId="77777777" w:rsidR="00575E00" w:rsidRDefault="003048AC"/>
    <w:sectPr w:rsidR="005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5B0"/>
    <w:multiLevelType w:val="hybridMultilevel"/>
    <w:tmpl w:val="47F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9"/>
    <w:rsid w:val="000064E4"/>
    <w:rsid w:val="000771DD"/>
    <w:rsid w:val="00086BE5"/>
    <w:rsid w:val="000C07DA"/>
    <w:rsid w:val="000C6426"/>
    <w:rsid w:val="000C750E"/>
    <w:rsid w:val="00145B42"/>
    <w:rsid w:val="001F5089"/>
    <w:rsid w:val="001F6A7D"/>
    <w:rsid w:val="002A3EC5"/>
    <w:rsid w:val="002C46BB"/>
    <w:rsid w:val="002D108C"/>
    <w:rsid w:val="002D2333"/>
    <w:rsid w:val="003048AC"/>
    <w:rsid w:val="003049F7"/>
    <w:rsid w:val="00336D54"/>
    <w:rsid w:val="003756D9"/>
    <w:rsid w:val="003C50BE"/>
    <w:rsid w:val="003F603B"/>
    <w:rsid w:val="004623D8"/>
    <w:rsid w:val="004667E5"/>
    <w:rsid w:val="004B5B80"/>
    <w:rsid w:val="00501FCF"/>
    <w:rsid w:val="005327FE"/>
    <w:rsid w:val="00544D7C"/>
    <w:rsid w:val="005A393F"/>
    <w:rsid w:val="00626394"/>
    <w:rsid w:val="006848F0"/>
    <w:rsid w:val="006B0BFE"/>
    <w:rsid w:val="006B4A43"/>
    <w:rsid w:val="006C41A1"/>
    <w:rsid w:val="006C54E1"/>
    <w:rsid w:val="006E2CAD"/>
    <w:rsid w:val="00721207"/>
    <w:rsid w:val="008117A9"/>
    <w:rsid w:val="00834818"/>
    <w:rsid w:val="00891C44"/>
    <w:rsid w:val="00893F89"/>
    <w:rsid w:val="008A4FE8"/>
    <w:rsid w:val="008C397F"/>
    <w:rsid w:val="009058E4"/>
    <w:rsid w:val="00907985"/>
    <w:rsid w:val="009325E1"/>
    <w:rsid w:val="00943C04"/>
    <w:rsid w:val="00962AFC"/>
    <w:rsid w:val="009959D8"/>
    <w:rsid w:val="009A49D7"/>
    <w:rsid w:val="009B54AC"/>
    <w:rsid w:val="00A0223D"/>
    <w:rsid w:val="00A74EC5"/>
    <w:rsid w:val="00AD77C3"/>
    <w:rsid w:val="00B27D2D"/>
    <w:rsid w:val="00B33CD9"/>
    <w:rsid w:val="00BC0DE5"/>
    <w:rsid w:val="00BF2A1A"/>
    <w:rsid w:val="00CA1C33"/>
    <w:rsid w:val="00CD2CB7"/>
    <w:rsid w:val="00D31724"/>
    <w:rsid w:val="00D3735E"/>
    <w:rsid w:val="00D83C3E"/>
    <w:rsid w:val="00DB0309"/>
    <w:rsid w:val="00DB4229"/>
    <w:rsid w:val="00E10BA4"/>
    <w:rsid w:val="00E466C9"/>
    <w:rsid w:val="00E8060C"/>
    <w:rsid w:val="00E833AB"/>
    <w:rsid w:val="00E9686A"/>
    <w:rsid w:val="00EA389E"/>
    <w:rsid w:val="00F40222"/>
    <w:rsid w:val="00F46730"/>
    <w:rsid w:val="00F5530F"/>
    <w:rsid w:val="00F60E5E"/>
    <w:rsid w:val="00F748B3"/>
    <w:rsid w:val="00F751F8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0A5E"/>
  <w15:chartTrackingRefBased/>
  <w15:docId w15:val="{0EFDB86E-948A-4772-A325-E0B1FBD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1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C3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51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Andrea Barnes</cp:lastModifiedBy>
  <cp:revision>2</cp:revision>
  <cp:lastPrinted>2022-01-10T14:04:00Z</cp:lastPrinted>
  <dcterms:created xsi:type="dcterms:W3CDTF">2022-03-07T16:32:00Z</dcterms:created>
  <dcterms:modified xsi:type="dcterms:W3CDTF">2022-03-07T16:32:00Z</dcterms:modified>
</cp:coreProperties>
</file>