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FEAB6" w14:textId="77777777" w:rsidR="007546AC" w:rsidRPr="003B79AD" w:rsidRDefault="007546AC" w:rsidP="007546AC">
      <w:pPr>
        <w:jc w:val="center"/>
        <w:rPr>
          <w:b/>
          <w:bCs/>
          <w:sz w:val="28"/>
          <w:szCs w:val="28"/>
        </w:rPr>
      </w:pPr>
      <w:r w:rsidRPr="003B79AD">
        <w:rPr>
          <w:b/>
          <w:bCs/>
          <w:sz w:val="28"/>
          <w:szCs w:val="28"/>
        </w:rPr>
        <w:t>Galion City Board of Health</w:t>
      </w:r>
    </w:p>
    <w:p w14:paraId="51AC25DA" w14:textId="77777777" w:rsidR="007546AC" w:rsidRPr="003B79AD" w:rsidRDefault="007546AC" w:rsidP="007546AC">
      <w:pPr>
        <w:jc w:val="center"/>
        <w:rPr>
          <w:b/>
          <w:bCs/>
          <w:sz w:val="28"/>
          <w:szCs w:val="28"/>
        </w:rPr>
      </w:pPr>
      <w:r w:rsidRPr="003B79AD">
        <w:rPr>
          <w:b/>
          <w:bCs/>
          <w:sz w:val="28"/>
          <w:szCs w:val="28"/>
        </w:rPr>
        <w:t>STI/HIV Prevention January 2022 Monthly Update</w:t>
      </w:r>
    </w:p>
    <w:p w14:paraId="5434FEF3" w14:textId="77777777" w:rsidR="007546AC" w:rsidRPr="007546AC" w:rsidRDefault="007546AC" w:rsidP="007546AC">
      <w:pPr>
        <w:rPr>
          <w:b/>
          <w:bCs/>
          <w:sz w:val="24"/>
          <w:szCs w:val="24"/>
        </w:rPr>
      </w:pPr>
      <w:r w:rsidRPr="007546AC">
        <w:rPr>
          <w:b/>
          <w:bCs/>
          <w:sz w:val="24"/>
          <w:szCs w:val="24"/>
        </w:rPr>
        <w:t>Clinical Services</w:t>
      </w:r>
    </w:p>
    <w:p w14:paraId="1025998E" w14:textId="77777777" w:rsidR="007546AC" w:rsidRDefault="007546AC" w:rsidP="007546AC">
      <w:pPr>
        <w:pStyle w:val="ListParagraph"/>
        <w:numPr>
          <w:ilvl w:val="0"/>
          <w:numId w:val="1"/>
        </w:numPr>
        <w:rPr>
          <w:b/>
          <w:bCs/>
        </w:rPr>
      </w:pPr>
      <w:r>
        <w:t xml:space="preserve">35 client visits for STI/HIV testing between Galion and Cline Ave. </w:t>
      </w:r>
      <w:proofErr w:type="gramStart"/>
      <w:r>
        <w:t>sites</w:t>
      </w:r>
      <w:proofErr w:type="gramEnd"/>
    </w:p>
    <w:p w14:paraId="0D8097EF" w14:textId="77777777" w:rsidR="007546AC" w:rsidRDefault="007546AC" w:rsidP="007546AC">
      <w:pPr>
        <w:pStyle w:val="ListParagraph"/>
        <w:numPr>
          <w:ilvl w:val="0"/>
          <w:numId w:val="1"/>
        </w:numPr>
        <w:rPr>
          <w:b/>
          <w:bCs/>
        </w:rPr>
      </w:pPr>
      <w:r>
        <w:t xml:space="preserve">28 clients active in </w:t>
      </w:r>
      <w:proofErr w:type="spellStart"/>
      <w:r>
        <w:t>PrEP</w:t>
      </w:r>
      <w:proofErr w:type="spellEnd"/>
      <w:r>
        <w:t xml:space="preserve"> and associated care management services through the end of January </w:t>
      </w:r>
    </w:p>
    <w:p w14:paraId="195159E8" w14:textId="77777777" w:rsidR="007546AC" w:rsidRPr="007546AC" w:rsidRDefault="007546AC" w:rsidP="007546AC">
      <w:pPr>
        <w:rPr>
          <w:b/>
          <w:bCs/>
          <w:sz w:val="24"/>
          <w:szCs w:val="24"/>
        </w:rPr>
      </w:pPr>
      <w:r w:rsidRPr="007546AC">
        <w:rPr>
          <w:b/>
          <w:bCs/>
          <w:sz w:val="24"/>
          <w:szCs w:val="24"/>
        </w:rPr>
        <w:t xml:space="preserve">Region 2 (Disease Investigation, etc.) </w:t>
      </w:r>
    </w:p>
    <w:p w14:paraId="60F2E7F4" w14:textId="77777777" w:rsidR="007546AC" w:rsidRPr="00C76CB2" w:rsidRDefault="007546AC" w:rsidP="007546AC">
      <w:pPr>
        <w:jc w:val="center"/>
        <w:rPr>
          <w:b/>
          <w:bCs/>
          <w:i/>
          <w:iCs/>
        </w:rPr>
      </w:pPr>
      <w:r>
        <w:rPr>
          <w:b/>
          <w:bCs/>
          <w:i/>
          <w:iCs/>
        </w:rPr>
        <w:t>Crawford, Marion, Richland, Ashland, Knox, Erie, Wyandot, Seneca, &amp; Huron Counties</w:t>
      </w:r>
    </w:p>
    <w:p w14:paraId="61B97134" w14:textId="77777777" w:rsidR="007546AC" w:rsidRDefault="007546AC" w:rsidP="007546AC">
      <w:pPr>
        <w:pStyle w:val="ListParagraph"/>
        <w:numPr>
          <w:ilvl w:val="0"/>
          <w:numId w:val="2"/>
        </w:numPr>
        <w:rPr>
          <w:b/>
          <w:bCs/>
        </w:rPr>
      </w:pPr>
      <w:r>
        <w:t xml:space="preserve">Syphilis cases continue to rise in Ohio and within our region.  When investigating, the individuals infected are within priority populations: men who have sex with men (MSM), and those who are engaging in injection drug use.  </w:t>
      </w:r>
      <w:r w:rsidRPr="00CA4D0E">
        <w:rPr>
          <w:b/>
          <w:bCs/>
        </w:rPr>
        <w:t>Methamphetamine use is a common factor in many of the infections.</w:t>
      </w:r>
      <w:r>
        <w:t xml:space="preserve">  </w:t>
      </w:r>
    </w:p>
    <w:p w14:paraId="2238B182" w14:textId="77777777" w:rsidR="007546AC" w:rsidRDefault="007546AC" w:rsidP="007546AC">
      <w:pPr>
        <w:pStyle w:val="ListParagraph"/>
        <w:numPr>
          <w:ilvl w:val="0"/>
          <w:numId w:val="3"/>
        </w:numPr>
        <w:rPr>
          <w:b/>
          <w:bCs/>
        </w:rPr>
      </w:pPr>
      <w:r>
        <w:t xml:space="preserve">We treated </w:t>
      </w:r>
      <w:r w:rsidRPr="00CA4D0E">
        <w:rPr>
          <w:b/>
          <w:bCs/>
        </w:rPr>
        <w:t xml:space="preserve">9 </w:t>
      </w:r>
      <w:r>
        <w:t xml:space="preserve">cases and contacts in January throughout the region.  </w:t>
      </w:r>
    </w:p>
    <w:p w14:paraId="73FE84FE" w14:textId="77777777" w:rsidR="007546AC" w:rsidRPr="00C76CB2" w:rsidRDefault="007546AC" w:rsidP="007546AC">
      <w:pPr>
        <w:pStyle w:val="ListParagraph"/>
        <w:numPr>
          <w:ilvl w:val="0"/>
          <w:numId w:val="3"/>
        </w:numPr>
        <w:rPr>
          <w:b/>
          <w:bCs/>
        </w:rPr>
      </w:pPr>
      <w:r>
        <w:t>We are thankful to partner agencies for volunteering space to meet many of these individuals throughout this rural area.  These include Marion Public Health, Mid-Ohio Infectious Disease, Knox County Health Department, Dr. Crum and more.</w:t>
      </w:r>
    </w:p>
    <w:p w14:paraId="0640EA08" w14:textId="77777777" w:rsidR="007546AC" w:rsidRPr="00DE1478" w:rsidRDefault="007546AC" w:rsidP="007546AC">
      <w:pPr>
        <w:pStyle w:val="ListParagraph"/>
        <w:numPr>
          <w:ilvl w:val="0"/>
          <w:numId w:val="3"/>
        </w:numPr>
        <w:rPr>
          <w:b/>
          <w:bCs/>
        </w:rPr>
      </w:pPr>
      <w:r>
        <w:t>At the end of 2022, we learned that we were the only Ohio region that did not encounter a congenital syphilis case during the calendar year.  We have worked very hard to prioritize treatment of women of childbearing age and those that are pregnant.</w:t>
      </w:r>
    </w:p>
    <w:p w14:paraId="035EDBCC" w14:textId="77777777" w:rsidR="007546AC" w:rsidRPr="00DE1478" w:rsidRDefault="007546AC" w:rsidP="007546AC">
      <w:pPr>
        <w:pStyle w:val="ListParagraph"/>
        <w:numPr>
          <w:ilvl w:val="0"/>
          <w:numId w:val="3"/>
        </w:numPr>
        <w:rPr>
          <w:b/>
          <w:bCs/>
        </w:rPr>
      </w:pPr>
      <w:r>
        <w:t>We held an opt-in testing event on January 19</w:t>
      </w:r>
      <w:r w:rsidRPr="00DE1478">
        <w:rPr>
          <w:vertAlign w:val="superscript"/>
        </w:rPr>
        <w:t>th</w:t>
      </w:r>
      <w:r>
        <w:t xml:space="preserve"> at Ashland County Jail—13 inmates were tested for HIV and syphilis.</w:t>
      </w:r>
    </w:p>
    <w:p w14:paraId="6922DEFF" w14:textId="77777777" w:rsidR="007546AC" w:rsidRPr="00DE1478" w:rsidRDefault="007546AC" w:rsidP="007546AC">
      <w:pPr>
        <w:pStyle w:val="ListParagraph"/>
        <w:numPr>
          <w:ilvl w:val="0"/>
          <w:numId w:val="6"/>
        </w:numPr>
        <w:rPr>
          <w:b/>
          <w:bCs/>
        </w:rPr>
      </w:pPr>
      <w:r>
        <w:rPr>
          <w:b/>
          <w:bCs/>
        </w:rPr>
        <w:t>We received 1 positive syphilis result.  This individual named 4 contacts that needed to then be investigated.  This shows the potential for far-reaching infection and the immense amount of time dedicated to each case.</w:t>
      </w:r>
    </w:p>
    <w:p w14:paraId="79D1DE2F" w14:textId="77777777" w:rsidR="007546AC" w:rsidRPr="007546AC" w:rsidRDefault="007546AC" w:rsidP="007546AC">
      <w:pPr>
        <w:rPr>
          <w:b/>
          <w:bCs/>
          <w:sz w:val="24"/>
          <w:szCs w:val="24"/>
        </w:rPr>
      </w:pPr>
      <w:r w:rsidRPr="007546AC">
        <w:rPr>
          <w:b/>
          <w:bCs/>
          <w:sz w:val="24"/>
          <w:szCs w:val="24"/>
        </w:rPr>
        <w:t>Budget</w:t>
      </w:r>
    </w:p>
    <w:p w14:paraId="0345B374" w14:textId="77777777" w:rsidR="007546AC" w:rsidRDefault="007546AC" w:rsidP="007546AC">
      <w:pPr>
        <w:pStyle w:val="ListParagraph"/>
        <w:numPr>
          <w:ilvl w:val="0"/>
          <w:numId w:val="4"/>
        </w:numPr>
      </w:pPr>
      <w:r>
        <w:t>Our notice of award (NOA) for each grant with amounts listed:</w:t>
      </w:r>
    </w:p>
    <w:p w14:paraId="24021EB7" w14:textId="77777777" w:rsidR="007546AC" w:rsidRDefault="007546AC" w:rsidP="007546AC">
      <w:pPr>
        <w:pStyle w:val="ListParagraph"/>
        <w:numPr>
          <w:ilvl w:val="1"/>
          <w:numId w:val="4"/>
        </w:numPr>
      </w:pPr>
      <w:r>
        <w:t xml:space="preserve">STI Prevention 2023 </w:t>
      </w:r>
      <w:r>
        <w:rPr>
          <w:b/>
          <w:bCs/>
        </w:rPr>
        <w:t>$205,000</w:t>
      </w:r>
    </w:p>
    <w:p w14:paraId="00612775" w14:textId="77777777" w:rsidR="007546AC" w:rsidRPr="00C76CB2" w:rsidRDefault="007546AC" w:rsidP="007546AC">
      <w:pPr>
        <w:pStyle w:val="ListParagraph"/>
        <w:numPr>
          <w:ilvl w:val="1"/>
          <w:numId w:val="4"/>
        </w:numPr>
      </w:pPr>
      <w:r>
        <w:t xml:space="preserve">HIV Prevention 2023 </w:t>
      </w:r>
      <w:r>
        <w:rPr>
          <w:b/>
          <w:bCs/>
        </w:rPr>
        <w:t>$219,915</w:t>
      </w:r>
    </w:p>
    <w:p w14:paraId="2A3356DF" w14:textId="77777777" w:rsidR="007546AC" w:rsidRDefault="007546AC" w:rsidP="007546AC">
      <w:pPr>
        <w:pStyle w:val="ListParagraph"/>
        <w:numPr>
          <w:ilvl w:val="0"/>
          <w:numId w:val="4"/>
        </w:numPr>
      </w:pPr>
      <w:r>
        <w:t>We are planning to use current funds for region-wide awareness campaigns to address the current syphilis burden and HIV prevention (</w:t>
      </w:r>
      <w:proofErr w:type="spellStart"/>
      <w:r>
        <w:t>PrEP</w:t>
      </w:r>
      <w:proofErr w:type="spellEnd"/>
      <w:r>
        <w:t xml:space="preserve">)—target areas include Marion, </w:t>
      </w:r>
      <w:proofErr w:type="gramStart"/>
      <w:r>
        <w:t>Richland</w:t>
      </w:r>
      <w:proofErr w:type="gramEnd"/>
      <w:r>
        <w:t xml:space="preserve"> and Erie counties.</w:t>
      </w:r>
    </w:p>
    <w:p w14:paraId="0E9878AA" w14:textId="77777777" w:rsidR="007546AC" w:rsidRPr="00CA4D0E" w:rsidRDefault="007546AC" w:rsidP="007546AC">
      <w:pPr>
        <w:pStyle w:val="ListParagraph"/>
        <w:numPr>
          <w:ilvl w:val="0"/>
          <w:numId w:val="7"/>
        </w:numPr>
      </w:pPr>
      <w:r>
        <w:t xml:space="preserve">Also, a </w:t>
      </w:r>
      <w:proofErr w:type="gramStart"/>
      <w:r>
        <w:t>portions of funds</w:t>
      </w:r>
      <w:proofErr w:type="gramEnd"/>
      <w:r>
        <w:t xml:space="preserve"> have been approved by the Ohio Dept. of Health for staff development to participate in the 2023 STI &amp; HIV World Congress to be held in July, Chicago, IL. </w:t>
      </w:r>
    </w:p>
    <w:p w14:paraId="0A59D6D8" w14:textId="77777777" w:rsidR="007546AC" w:rsidRDefault="007546AC" w:rsidP="007546AC">
      <w:pPr>
        <w:pStyle w:val="ListParagraph"/>
        <w:numPr>
          <w:ilvl w:val="0"/>
          <w:numId w:val="5"/>
        </w:numPr>
      </w:pPr>
      <w:r>
        <w:t xml:space="preserve">A budget revision will be needed to move funds on the STI Prevention grant as we are not filling the RN DIS position that was vacated by L. Corwin, RN in mid-2022.  This excess will be used to supplement increased benefit costs for grant-funded employees and the remainder will be used for region-wide awareness campaigns. </w:t>
      </w:r>
    </w:p>
    <w:p w14:paraId="32CCF7E2" w14:textId="62DEF1BF" w:rsidR="007546AC" w:rsidRPr="007546AC" w:rsidRDefault="007546AC" w:rsidP="00ED7234">
      <w:pPr>
        <w:rPr>
          <w:b/>
          <w:bCs/>
          <w:sz w:val="24"/>
          <w:szCs w:val="24"/>
        </w:rPr>
      </w:pPr>
      <w:r w:rsidRPr="007546AC">
        <w:rPr>
          <w:b/>
          <w:bCs/>
          <w:sz w:val="24"/>
          <w:szCs w:val="24"/>
        </w:rPr>
        <w:t>Respectfully Submitted</w:t>
      </w:r>
      <w:r>
        <w:rPr>
          <w:b/>
          <w:bCs/>
          <w:sz w:val="24"/>
          <w:szCs w:val="24"/>
        </w:rPr>
        <w:t>, Sarah Miley APRN-CNP</w:t>
      </w:r>
    </w:p>
    <w:sectPr w:rsidR="007546AC" w:rsidRPr="007546AC" w:rsidSect="003B3E6E">
      <w:headerReference w:type="default" r:id="rId8"/>
      <w:headerReference w:type="first" r:id="rId9"/>
      <w:pgSz w:w="12240" w:h="15840" w:code="1"/>
      <w:pgMar w:top="1584" w:right="1440" w:bottom="1440" w:left="1440" w:header="122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54C4A" w14:textId="77777777" w:rsidR="007546AC" w:rsidRDefault="007546AC" w:rsidP="00D24243">
      <w:r>
        <w:separator/>
      </w:r>
    </w:p>
  </w:endnote>
  <w:endnote w:type="continuationSeparator" w:id="0">
    <w:p w14:paraId="6BE6703F" w14:textId="77777777" w:rsidR="007546AC" w:rsidRDefault="007546AC" w:rsidP="00D2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eue">
    <w:altName w:val="DokChampa"/>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8A5FD" w14:textId="77777777" w:rsidR="007546AC" w:rsidRDefault="007546AC" w:rsidP="00D24243">
      <w:r>
        <w:separator/>
      </w:r>
    </w:p>
  </w:footnote>
  <w:footnote w:type="continuationSeparator" w:id="0">
    <w:p w14:paraId="29C88B84" w14:textId="77777777" w:rsidR="007546AC" w:rsidRDefault="007546AC" w:rsidP="00D2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36A5" w14:textId="77777777" w:rsidR="00ED7234" w:rsidRDefault="007546AC">
    <w:pPr>
      <w:pStyle w:val="Header"/>
    </w:pPr>
    <w:r>
      <w:rPr>
        <w:noProof/>
      </w:rPr>
      <w:pict w14:anchorId="49ACA4B4">
        <v:rect id="_x0000_s1036" style="position:absolute;margin-left:0;margin-top:-5.7pt;width:567.65pt;height:7.75pt;z-index:251662336;mso-position-horizontal:center;mso-position-horizontal-relative:margin" fillcolor="#5bc4bf" stroked="f">
          <w10:wrap anchorx="margin"/>
        </v:rect>
      </w:pict>
    </w:r>
    <w:r w:rsidR="00ED7234">
      <w:rPr>
        <w:noProof/>
      </w:rPr>
      <w:drawing>
        <wp:anchor distT="0" distB="0" distL="114300" distR="114300" simplePos="0" relativeHeight="251661312" behindDoc="1" locked="0" layoutInCell="1" allowOverlap="1" wp14:anchorId="7F375D8F" wp14:editId="0A0D44CB">
          <wp:simplePos x="0" y="0"/>
          <wp:positionH relativeFrom="margin">
            <wp:posOffset>-485775</wp:posOffset>
          </wp:positionH>
          <wp:positionV relativeFrom="paragraph">
            <wp:posOffset>-520065</wp:posOffset>
          </wp:positionV>
          <wp:extent cx="799465" cy="495300"/>
          <wp:effectExtent l="19050" t="0" r="635" b="0"/>
          <wp:wrapTight wrapText="bothSides">
            <wp:wrapPolygon edited="0">
              <wp:start x="-515" y="0"/>
              <wp:lineTo x="-515" y="20769"/>
              <wp:lineTo x="21617" y="20769"/>
              <wp:lineTo x="21617" y="0"/>
              <wp:lineTo x="-515" y="0"/>
            </wp:wrapPolygon>
          </wp:wrapTight>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srcRect/>
                  <a:stretch>
                    <a:fillRect/>
                  </a:stretch>
                </pic:blipFill>
                <pic:spPr bwMode="auto">
                  <a:xfrm>
                    <a:off x="0" y="0"/>
                    <a:ext cx="799465" cy="4953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A600" w14:textId="77777777" w:rsidR="00ED7234" w:rsidRDefault="007546AC" w:rsidP="003B3E6E">
    <w:pPr>
      <w:pStyle w:val="Header"/>
      <w:tabs>
        <w:tab w:val="clear" w:pos="4680"/>
        <w:tab w:val="clear" w:pos="9360"/>
      </w:tabs>
    </w:pPr>
    <w:r>
      <w:rPr>
        <w:noProof/>
      </w:rPr>
      <w:pict w14:anchorId="3A14CD61">
        <v:group id="_x0000_s1040" style="position:absolute;margin-left:-49.85pt;margin-top:-32.5pt;width:567.65pt;height:48.65pt;z-index:251668480" coordorigin="443,574" coordsize="11353,973">
          <v:rect id="_x0000_s1037" style="position:absolute;left:443;top:1350;width:11353;height:155;mso-position-horizontal:center;mso-position-horizontal-relative:margin" fillcolor="#5bc4bf" stroked="f"/>
          <v:shapetype id="_x0000_t202" coordsize="21600,21600" o:spt="202" path="m,l,21600r21600,l21600,xe">
            <v:stroke joinstyle="miter"/>
            <v:path gradientshapeok="t" o:connecttype="rect"/>
          </v:shapetype>
          <v:shape id="_x0000_s1038" type="#_x0000_t202" style="position:absolute;left:6917;top:823;width:1993;height:557;mso-position-horizontal-relative:text;mso-position-vertical-relative:text" filled="f" stroked="f">
            <v:textbox style="mso-next-textbox:#_x0000_s1038" inset="0,0,0,0">
              <w:txbxContent>
                <w:p w14:paraId="005473E7" w14:textId="77777777" w:rsidR="003B3E6E" w:rsidRPr="003B3E6E" w:rsidRDefault="003B3E6E" w:rsidP="003B3E6E">
                  <w:pPr>
                    <w:pStyle w:val="Address"/>
                    <w:rPr>
                      <w:rFonts w:ascii="Calibri" w:hAnsi="Calibri"/>
                      <w:b/>
                      <w:color w:val="003D71"/>
                      <w:sz w:val="20"/>
                      <w:szCs w:val="20"/>
                    </w:rPr>
                  </w:pPr>
                  <w:r w:rsidRPr="003B3E6E">
                    <w:rPr>
                      <w:rFonts w:ascii="Calibri" w:hAnsi="Calibri"/>
                      <w:b/>
                      <w:color w:val="003D71"/>
                      <w:sz w:val="20"/>
                      <w:szCs w:val="20"/>
                    </w:rPr>
                    <w:t>113 Harding Way East</w:t>
                  </w:r>
                </w:p>
                <w:p w14:paraId="42EF109A" w14:textId="77777777" w:rsidR="003B3E6E" w:rsidRPr="003B3E6E" w:rsidRDefault="003B3E6E" w:rsidP="003B3E6E">
                  <w:pPr>
                    <w:pStyle w:val="Address"/>
                    <w:rPr>
                      <w:rFonts w:ascii="Calibri" w:hAnsi="Calibri"/>
                      <w:b/>
                      <w:color w:val="003D71"/>
                      <w:sz w:val="20"/>
                      <w:szCs w:val="20"/>
                    </w:rPr>
                  </w:pPr>
                  <w:r w:rsidRPr="003B3E6E">
                    <w:rPr>
                      <w:rFonts w:ascii="Calibri" w:hAnsi="Calibri"/>
                      <w:b/>
                      <w:color w:val="003D71"/>
                      <w:sz w:val="20"/>
                      <w:szCs w:val="20"/>
                    </w:rPr>
                    <w:t>Galion, Ohio 44833</w:t>
                  </w:r>
                </w:p>
                <w:p w14:paraId="685CB9D0" w14:textId="77777777" w:rsidR="003B3E6E" w:rsidRPr="00592E20" w:rsidRDefault="003B3E6E" w:rsidP="003B3E6E">
                  <w:pPr>
                    <w:rPr>
                      <w:rFonts w:ascii="Helvetica" w:hAnsi="Helvetica"/>
                      <w:color w:val="1F497D" w:themeColor="text2"/>
                      <w:szCs w:val="16"/>
                    </w:rPr>
                  </w:pPr>
                </w:p>
              </w:txbxContent>
            </v:textbox>
          </v:shape>
          <v:shape id="_x0000_s1039" type="#_x0000_t202" style="position:absolute;left:9500;top:574;width:1996;height:973;mso-position-horizontal-relative:text;mso-position-vertical-relative:text" filled="f" stroked="f">
            <v:textbox style="mso-next-textbox:#_x0000_s1039" inset="0,0,0,0">
              <w:txbxContent>
                <w:p w14:paraId="724DEFA7" w14:textId="77777777" w:rsidR="003B3E6E" w:rsidRPr="003B3E6E" w:rsidRDefault="003B3E6E"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Phone</w:t>
                  </w:r>
                  <w:r w:rsidRPr="003B3E6E">
                    <w:rPr>
                      <w:rFonts w:asciiTheme="minorHAnsi" w:hAnsiTheme="minorHAnsi"/>
                      <w:b/>
                      <w:color w:val="003D71"/>
                      <w:sz w:val="20"/>
                      <w:szCs w:val="20"/>
                    </w:rPr>
                    <w:tab/>
                    <w:t>419.468.1075</w:t>
                  </w:r>
                </w:p>
                <w:p w14:paraId="32EFC8CA" w14:textId="77777777" w:rsidR="003B3E6E" w:rsidRPr="003B3E6E" w:rsidRDefault="003B3E6E"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Fax</w:t>
                  </w:r>
                  <w:r w:rsidRPr="003B3E6E">
                    <w:rPr>
                      <w:rFonts w:asciiTheme="minorHAnsi" w:hAnsiTheme="minorHAnsi"/>
                      <w:b/>
                      <w:color w:val="003D71"/>
                      <w:sz w:val="20"/>
                      <w:szCs w:val="20"/>
                    </w:rPr>
                    <w:tab/>
                    <w:t>419.468.8618</w:t>
                  </w:r>
                </w:p>
                <w:p w14:paraId="33F6AF3F" w14:textId="77777777" w:rsidR="003B3E6E" w:rsidRPr="003B3E6E" w:rsidRDefault="003B3E6E"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www.galionhealth.org</w:t>
                  </w:r>
                </w:p>
                <w:p w14:paraId="19ADD0C4" w14:textId="77777777" w:rsidR="003B3E6E" w:rsidRPr="00E47FDC" w:rsidRDefault="003B3E6E" w:rsidP="003B3E6E">
                  <w:pPr>
                    <w:pStyle w:val="phfax"/>
                    <w:rPr>
                      <w:rFonts w:ascii="HelveticaNeue" w:hAnsi="HelveticaNeue"/>
                      <w:sz w:val="20"/>
                    </w:rPr>
                  </w:pPr>
                </w:p>
                <w:p w14:paraId="3C2EB09E" w14:textId="77777777" w:rsidR="003B3E6E" w:rsidRPr="00E47FDC" w:rsidRDefault="003B3E6E" w:rsidP="003B3E6E">
                  <w:pPr>
                    <w:pStyle w:val="phfax"/>
                  </w:pPr>
                </w:p>
              </w:txbxContent>
            </v:textbox>
          </v:shape>
        </v:group>
      </w:pict>
    </w:r>
    <w:r w:rsidR="003B3E6E" w:rsidRPr="003B3E6E">
      <w:rPr>
        <w:noProof/>
      </w:rPr>
      <w:drawing>
        <wp:anchor distT="0" distB="0" distL="114300" distR="114300" simplePos="0" relativeHeight="251665408" behindDoc="1" locked="0" layoutInCell="1" allowOverlap="1" wp14:anchorId="4B17CD77" wp14:editId="6B323627">
          <wp:simplePos x="0" y="0"/>
          <wp:positionH relativeFrom="margin">
            <wp:posOffset>-333375</wp:posOffset>
          </wp:positionH>
          <wp:positionV relativeFrom="paragraph">
            <wp:posOffset>-504190</wp:posOffset>
          </wp:positionV>
          <wp:extent cx="1019175" cy="631190"/>
          <wp:effectExtent l="19050" t="0" r="9525" b="0"/>
          <wp:wrapTight wrapText="bothSides">
            <wp:wrapPolygon edited="0">
              <wp:start x="-404" y="0"/>
              <wp:lineTo x="-404" y="20861"/>
              <wp:lineTo x="21802" y="20861"/>
              <wp:lineTo x="21802" y="0"/>
              <wp:lineTo x="-404" y="0"/>
            </wp:wrapPolygon>
          </wp:wrapTight>
          <wp:docPr id="1"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srcRect/>
                  <a:stretch>
                    <a:fillRect/>
                  </a:stretch>
                </pic:blipFill>
                <pic:spPr bwMode="auto">
                  <a:xfrm>
                    <a:off x="0" y="0"/>
                    <a:ext cx="1019175" cy="6311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B4094"/>
    <w:multiLevelType w:val="hybridMultilevel"/>
    <w:tmpl w:val="4C2E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C789C"/>
    <w:multiLevelType w:val="hybridMultilevel"/>
    <w:tmpl w:val="B734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8157CC"/>
    <w:multiLevelType w:val="hybridMultilevel"/>
    <w:tmpl w:val="E328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89E74F1"/>
    <w:multiLevelType w:val="hybridMultilevel"/>
    <w:tmpl w:val="4328B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92F1BD4"/>
    <w:multiLevelType w:val="hybridMultilevel"/>
    <w:tmpl w:val="B96629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CB55E7"/>
    <w:multiLevelType w:val="hybridMultilevel"/>
    <w:tmpl w:val="4F7E2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3BC40B0"/>
    <w:multiLevelType w:val="hybridMultilevel"/>
    <w:tmpl w:val="58F29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33353608">
    <w:abstractNumId w:val="2"/>
    <w:lvlOverride w:ilvl="0"/>
    <w:lvlOverride w:ilvl="1"/>
    <w:lvlOverride w:ilvl="2"/>
    <w:lvlOverride w:ilvl="3"/>
    <w:lvlOverride w:ilvl="4"/>
    <w:lvlOverride w:ilvl="5"/>
    <w:lvlOverride w:ilvl="6"/>
    <w:lvlOverride w:ilvl="7"/>
    <w:lvlOverride w:ilvl="8"/>
  </w:num>
  <w:num w:numId="2" w16cid:durableId="1056003455">
    <w:abstractNumId w:val="5"/>
    <w:lvlOverride w:ilvl="0"/>
    <w:lvlOverride w:ilvl="1"/>
    <w:lvlOverride w:ilvl="2"/>
    <w:lvlOverride w:ilvl="3"/>
    <w:lvlOverride w:ilvl="4"/>
    <w:lvlOverride w:ilvl="5"/>
    <w:lvlOverride w:ilvl="6"/>
    <w:lvlOverride w:ilvl="7"/>
    <w:lvlOverride w:ilvl="8"/>
  </w:num>
  <w:num w:numId="3" w16cid:durableId="271939001">
    <w:abstractNumId w:val="3"/>
    <w:lvlOverride w:ilvl="0"/>
    <w:lvlOverride w:ilvl="1"/>
    <w:lvlOverride w:ilvl="2"/>
    <w:lvlOverride w:ilvl="3"/>
    <w:lvlOverride w:ilvl="4"/>
    <w:lvlOverride w:ilvl="5"/>
    <w:lvlOverride w:ilvl="6"/>
    <w:lvlOverride w:ilvl="7"/>
    <w:lvlOverride w:ilvl="8"/>
  </w:num>
  <w:num w:numId="4" w16cid:durableId="143548940">
    <w:abstractNumId w:val="6"/>
  </w:num>
  <w:num w:numId="5" w16cid:durableId="912739695">
    <w:abstractNumId w:val="0"/>
  </w:num>
  <w:num w:numId="6" w16cid:durableId="1457486590">
    <w:abstractNumId w:val="4"/>
  </w:num>
  <w:num w:numId="7" w16cid:durableId="654263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546AC"/>
    <w:rsid w:val="000130E5"/>
    <w:rsid w:val="00070391"/>
    <w:rsid w:val="000B04EC"/>
    <w:rsid w:val="00111A99"/>
    <w:rsid w:val="0018144F"/>
    <w:rsid w:val="00262CB0"/>
    <w:rsid w:val="002F5791"/>
    <w:rsid w:val="00396E11"/>
    <w:rsid w:val="003B3E6E"/>
    <w:rsid w:val="0047670F"/>
    <w:rsid w:val="00477920"/>
    <w:rsid w:val="005878A7"/>
    <w:rsid w:val="005C7432"/>
    <w:rsid w:val="006201C6"/>
    <w:rsid w:val="006B5C23"/>
    <w:rsid w:val="007546AC"/>
    <w:rsid w:val="00802A71"/>
    <w:rsid w:val="00840242"/>
    <w:rsid w:val="0084152C"/>
    <w:rsid w:val="008C1D33"/>
    <w:rsid w:val="00A17D27"/>
    <w:rsid w:val="00A92B0A"/>
    <w:rsid w:val="00BC7581"/>
    <w:rsid w:val="00D24243"/>
    <w:rsid w:val="00DA7E01"/>
    <w:rsid w:val="00DB11D8"/>
    <w:rsid w:val="00E711E5"/>
    <w:rsid w:val="00ED7234"/>
    <w:rsid w:val="00F2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79B63"/>
  <w15:docId w15:val="{CFC935EE-80B6-41FE-9386-760C3F34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6AC"/>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4243"/>
    <w:pPr>
      <w:tabs>
        <w:tab w:val="center" w:pos="4680"/>
        <w:tab w:val="right" w:pos="9360"/>
      </w:tabs>
    </w:pPr>
  </w:style>
  <w:style w:type="character" w:customStyle="1" w:styleId="HeaderChar">
    <w:name w:val="Header Char"/>
    <w:basedOn w:val="DefaultParagraphFont"/>
    <w:link w:val="Header"/>
    <w:uiPriority w:val="99"/>
    <w:semiHidden/>
    <w:rsid w:val="00D24243"/>
  </w:style>
  <w:style w:type="paragraph" w:styleId="Footer">
    <w:name w:val="footer"/>
    <w:basedOn w:val="Normal"/>
    <w:link w:val="FooterChar"/>
    <w:uiPriority w:val="99"/>
    <w:semiHidden/>
    <w:unhideWhenUsed/>
    <w:rsid w:val="00D24243"/>
    <w:pPr>
      <w:tabs>
        <w:tab w:val="center" w:pos="4680"/>
        <w:tab w:val="right" w:pos="9360"/>
      </w:tabs>
    </w:pPr>
  </w:style>
  <w:style w:type="character" w:customStyle="1" w:styleId="FooterChar">
    <w:name w:val="Footer Char"/>
    <w:basedOn w:val="DefaultParagraphFont"/>
    <w:link w:val="Footer"/>
    <w:uiPriority w:val="99"/>
    <w:semiHidden/>
    <w:rsid w:val="00D24243"/>
  </w:style>
  <w:style w:type="paragraph" w:customStyle="1" w:styleId="Address">
    <w:name w:val="Address"/>
    <w:basedOn w:val="Normal"/>
    <w:link w:val="AddressChar"/>
    <w:qFormat/>
    <w:rsid w:val="00D24243"/>
    <w:pPr>
      <w:widowControl w:val="0"/>
      <w:autoSpaceDE w:val="0"/>
      <w:autoSpaceDN w:val="0"/>
      <w:adjustRightInd w:val="0"/>
      <w:spacing w:line="200" w:lineRule="atLeast"/>
      <w:textAlignment w:val="center"/>
    </w:pPr>
    <w:rPr>
      <w:rFonts w:ascii="Arial" w:eastAsia="Times New Roman" w:hAnsi="Arial" w:cs="Arial"/>
      <w:color w:val="808080"/>
      <w:sz w:val="16"/>
      <w:szCs w:val="16"/>
    </w:rPr>
  </w:style>
  <w:style w:type="character" w:customStyle="1" w:styleId="AddressChar">
    <w:name w:val="Address Char"/>
    <w:basedOn w:val="DefaultParagraphFont"/>
    <w:link w:val="Address"/>
    <w:rsid w:val="00D24243"/>
    <w:rPr>
      <w:rFonts w:ascii="Arial" w:eastAsia="Times New Roman" w:hAnsi="Arial" w:cs="Arial"/>
      <w:color w:val="808080"/>
      <w:sz w:val="16"/>
      <w:szCs w:val="16"/>
    </w:rPr>
  </w:style>
  <w:style w:type="paragraph" w:customStyle="1" w:styleId="phfax">
    <w:name w:val="ph/fax"/>
    <w:basedOn w:val="Normal"/>
    <w:link w:val="phfaxChar"/>
    <w:qFormat/>
    <w:rsid w:val="00D24243"/>
    <w:pPr>
      <w:widowControl w:val="0"/>
      <w:autoSpaceDE w:val="0"/>
      <w:autoSpaceDN w:val="0"/>
      <w:adjustRightInd w:val="0"/>
      <w:spacing w:line="200" w:lineRule="atLeast"/>
      <w:textAlignment w:val="center"/>
    </w:pPr>
    <w:rPr>
      <w:rFonts w:ascii="Arial" w:eastAsia="Times New Roman" w:hAnsi="Arial" w:cs="Times New Roman"/>
      <w:color w:val="808080"/>
      <w:sz w:val="16"/>
      <w:szCs w:val="16"/>
    </w:rPr>
  </w:style>
  <w:style w:type="character" w:customStyle="1" w:styleId="phfaxChar">
    <w:name w:val="ph/fax Char"/>
    <w:basedOn w:val="DefaultParagraphFont"/>
    <w:link w:val="phfax"/>
    <w:rsid w:val="00D24243"/>
    <w:rPr>
      <w:rFonts w:ascii="Arial" w:eastAsia="Times New Roman" w:hAnsi="Arial" w:cs="Times New Roman"/>
      <w:color w:val="808080"/>
      <w:sz w:val="16"/>
      <w:szCs w:val="16"/>
    </w:rPr>
  </w:style>
  <w:style w:type="paragraph" w:styleId="BalloonText">
    <w:name w:val="Balloon Text"/>
    <w:basedOn w:val="Normal"/>
    <w:link w:val="BalloonTextChar"/>
    <w:uiPriority w:val="99"/>
    <w:semiHidden/>
    <w:unhideWhenUsed/>
    <w:rsid w:val="00D24243"/>
    <w:rPr>
      <w:rFonts w:ascii="Tahoma" w:hAnsi="Tahoma" w:cs="Tahoma"/>
      <w:sz w:val="16"/>
      <w:szCs w:val="16"/>
    </w:rPr>
  </w:style>
  <w:style w:type="character" w:customStyle="1" w:styleId="BalloonTextChar">
    <w:name w:val="Balloon Text Char"/>
    <w:basedOn w:val="DefaultParagraphFont"/>
    <w:link w:val="BalloonText"/>
    <w:uiPriority w:val="99"/>
    <w:semiHidden/>
    <w:rsid w:val="00D24243"/>
    <w:rPr>
      <w:rFonts w:ascii="Tahoma" w:hAnsi="Tahoma" w:cs="Tahoma"/>
      <w:sz w:val="16"/>
      <w:szCs w:val="16"/>
    </w:rPr>
  </w:style>
  <w:style w:type="paragraph" w:styleId="ListParagraph">
    <w:name w:val="List Paragraph"/>
    <w:basedOn w:val="Normal"/>
    <w:uiPriority w:val="34"/>
    <w:qFormat/>
    <w:rsid w:val="00754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Department%20Docs\Department%20Forms\Letterhead%20Modified%20S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D5E24-019C-4517-8170-C24A731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Modified Small.dotx</Template>
  <TotalTime>2</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Miley</dc:creator>
  <cp:lastModifiedBy>Nurse Practitioner</cp:lastModifiedBy>
  <cp:revision>1</cp:revision>
  <cp:lastPrinted>2013-09-23T16:39:00Z</cp:lastPrinted>
  <dcterms:created xsi:type="dcterms:W3CDTF">2023-02-07T18:35:00Z</dcterms:created>
  <dcterms:modified xsi:type="dcterms:W3CDTF">2023-02-07T18:37:00Z</dcterms:modified>
</cp:coreProperties>
</file>