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15CE5" w14:textId="77777777" w:rsidR="007D39B3" w:rsidRPr="006F4DB6" w:rsidRDefault="007D39B3" w:rsidP="235414A5">
      <w:pPr>
        <w:spacing w:after="200" w:line="240" w:lineRule="auto"/>
        <w:jc w:val="center"/>
        <w:rPr>
          <w:rFonts w:eastAsiaTheme="minorEastAsia" w:cstheme="minorHAnsi"/>
        </w:rPr>
      </w:pPr>
      <w:r w:rsidRPr="006F4DB6">
        <w:rPr>
          <w:rFonts w:cstheme="minorHAnsi"/>
          <w:noProof/>
        </w:rPr>
        <w:drawing>
          <wp:inline distT="0" distB="0" distL="0" distR="0" wp14:anchorId="11215B2A" wp14:editId="4C1BEE3F">
            <wp:extent cx="2581275" cy="587406"/>
            <wp:effectExtent l="0" t="0" r="0" b="3175"/>
            <wp:docPr id="944084760" name="picture" descr="DCNEOLogo_2col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2581275" cy="587406"/>
                    </a:xfrm>
                    <a:prstGeom prst="rect">
                      <a:avLst/>
                    </a:prstGeom>
                  </pic:spPr>
                </pic:pic>
              </a:graphicData>
            </a:graphic>
          </wp:inline>
        </w:drawing>
      </w:r>
    </w:p>
    <w:p w14:paraId="3BB0B7BE" w14:textId="6462C699" w:rsidR="00963EAF" w:rsidRPr="006F4DB6" w:rsidRDefault="00533405" w:rsidP="00B22178">
      <w:pPr>
        <w:spacing w:after="0" w:line="240" w:lineRule="auto"/>
        <w:jc w:val="center"/>
        <w:rPr>
          <w:rFonts w:eastAsiaTheme="minorEastAsia" w:cstheme="minorHAnsi"/>
          <w:b/>
          <w:bCs/>
          <w:sz w:val="38"/>
          <w:szCs w:val="38"/>
        </w:rPr>
      </w:pPr>
      <w:r w:rsidRPr="006F4DB6">
        <w:rPr>
          <w:rFonts w:eastAsiaTheme="minorEastAsia" w:cstheme="minorHAnsi"/>
          <w:b/>
          <w:bCs/>
          <w:sz w:val="38"/>
          <w:szCs w:val="38"/>
        </w:rPr>
        <w:t xml:space="preserve">Galion City Health Department </w:t>
      </w:r>
    </w:p>
    <w:p w14:paraId="327B6D3D" w14:textId="21971296" w:rsidR="00B22178" w:rsidRPr="006F4DB6" w:rsidRDefault="00B22178" w:rsidP="00B22178">
      <w:pPr>
        <w:spacing w:after="0" w:line="240" w:lineRule="auto"/>
        <w:jc w:val="center"/>
        <w:rPr>
          <w:rFonts w:eastAsiaTheme="minorEastAsia" w:cstheme="minorHAnsi"/>
          <w:sz w:val="38"/>
          <w:szCs w:val="38"/>
        </w:rPr>
      </w:pPr>
      <w:r w:rsidRPr="006F4DB6">
        <w:rPr>
          <w:rFonts w:eastAsiaTheme="minorEastAsia" w:cstheme="minorHAnsi"/>
          <w:b/>
          <w:bCs/>
          <w:sz w:val="38"/>
          <w:szCs w:val="38"/>
        </w:rPr>
        <w:t>Proposal</w:t>
      </w:r>
    </w:p>
    <w:p w14:paraId="441A9101" w14:textId="4E0ED677" w:rsidR="00B22178" w:rsidRPr="006F4DB6" w:rsidRDefault="00533405" w:rsidP="00B22178">
      <w:pPr>
        <w:spacing w:after="0" w:line="240" w:lineRule="auto"/>
        <w:jc w:val="center"/>
        <w:rPr>
          <w:rFonts w:eastAsiaTheme="minorEastAsia" w:cstheme="minorHAnsi"/>
          <w:b/>
          <w:bCs/>
          <w:sz w:val="32"/>
          <w:szCs w:val="32"/>
        </w:rPr>
      </w:pPr>
      <w:r w:rsidRPr="006F4DB6">
        <w:rPr>
          <w:rFonts w:eastAsiaTheme="minorEastAsia" w:cstheme="minorHAnsi"/>
          <w:b/>
          <w:bCs/>
          <w:sz w:val="32"/>
          <w:szCs w:val="32"/>
        </w:rPr>
        <w:t>2/22/24</w:t>
      </w:r>
    </w:p>
    <w:p w14:paraId="4A39B705" w14:textId="77777777" w:rsidR="00B22178" w:rsidRPr="006F4DB6" w:rsidRDefault="00B22178" w:rsidP="00B22178">
      <w:pPr>
        <w:spacing w:after="0" w:line="240" w:lineRule="auto"/>
        <w:jc w:val="center"/>
        <w:rPr>
          <w:rFonts w:eastAsiaTheme="minorEastAsia" w:cstheme="minorHAnsi"/>
          <w:b/>
          <w:bCs/>
          <w:sz w:val="32"/>
          <w:szCs w:val="32"/>
        </w:rPr>
      </w:pPr>
    </w:p>
    <w:p w14:paraId="232F049F" w14:textId="57AECC66" w:rsidR="00B22178" w:rsidRPr="006F4DB6" w:rsidRDefault="00B22178" w:rsidP="00B22178">
      <w:pPr>
        <w:spacing w:after="0" w:line="240" w:lineRule="auto"/>
        <w:rPr>
          <w:rFonts w:eastAsiaTheme="minorEastAsia" w:cstheme="minorHAnsi"/>
          <w:sz w:val="24"/>
          <w:szCs w:val="24"/>
        </w:rPr>
      </w:pPr>
      <w:r w:rsidRPr="006F4DB6">
        <w:rPr>
          <w:rFonts w:eastAsiaTheme="minorEastAsia" w:cstheme="minorHAnsi"/>
          <w:sz w:val="24"/>
          <w:szCs w:val="24"/>
        </w:rPr>
        <w:t xml:space="preserve">The Diversity Center is a human relations organization that has been dedicated to eliminating bias, bigotry, and racism in Northeast Ohio for over </w:t>
      </w:r>
      <w:r w:rsidR="00F14450" w:rsidRPr="006F4DB6">
        <w:rPr>
          <w:rFonts w:eastAsiaTheme="minorEastAsia" w:cstheme="minorHAnsi"/>
          <w:sz w:val="24"/>
          <w:szCs w:val="24"/>
        </w:rPr>
        <w:t>9</w:t>
      </w:r>
      <w:r w:rsidRPr="006F4DB6">
        <w:rPr>
          <w:rFonts w:eastAsiaTheme="minorEastAsia" w:cstheme="minorHAnsi"/>
          <w:sz w:val="24"/>
          <w:szCs w:val="24"/>
        </w:rPr>
        <w:t xml:space="preserve">0 years.  Originally founded as the National Conference </w:t>
      </w:r>
      <w:r w:rsidR="000A4A78" w:rsidRPr="006F4DB6">
        <w:rPr>
          <w:rFonts w:eastAsiaTheme="minorEastAsia" w:cstheme="minorHAnsi"/>
          <w:sz w:val="24"/>
          <w:szCs w:val="24"/>
        </w:rPr>
        <w:t>for</w:t>
      </w:r>
      <w:r w:rsidRPr="006F4DB6">
        <w:rPr>
          <w:rFonts w:eastAsiaTheme="minorEastAsia" w:cstheme="minorHAnsi"/>
          <w:sz w:val="24"/>
          <w:szCs w:val="24"/>
        </w:rPr>
        <w:t xml:space="preserve"> Christians and Jews (NCCJ), today we focus on increasing knowledge, raising awareness, and building skills to help create communities that are safe, respectful, and inclusive to all members.  We provide in-school programming, </w:t>
      </w:r>
      <w:r w:rsidR="003D1DCF" w:rsidRPr="006F4DB6">
        <w:rPr>
          <w:rFonts w:eastAsiaTheme="minorEastAsia" w:cstheme="minorHAnsi"/>
          <w:sz w:val="24"/>
          <w:szCs w:val="24"/>
        </w:rPr>
        <w:t>conferences</w:t>
      </w:r>
      <w:r w:rsidRPr="006F4DB6">
        <w:rPr>
          <w:rFonts w:eastAsiaTheme="minorEastAsia" w:cstheme="minorHAnsi"/>
          <w:sz w:val="24"/>
          <w:szCs w:val="24"/>
        </w:rPr>
        <w:t xml:space="preserve">, and retreats for students.  We also provide consulting services to help create organizational cultures that recognize, value, and celebrate differences, thus leading to more inclusive and productive work environments.  </w:t>
      </w:r>
    </w:p>
    <w:p w14:paraId="5DD11E61" w14:textId="77777777" w:rsidR="00B22178" w:rsidRPr="006F4DB6" w:rsidRDefault="00B22178" w:rsidP="00B22178">
      <w:pPr>
        <w:spacing w:after="0" w:line="240" w:lineRule="auto"/>
        <w:rPr>
          <w:rFonts w:eastAsiaTheme="minorEastAsia" w:cstheme="minorHAnsi"/>
          <w:sz w:val="24"/>
          <w:szCs w:val="24"/>
        </w:rPr>
      </w:pPr>
    </w:p>
    <w:p w14:paraId="3A87482E" w14:textId="239EE29D" w:rsidR="00B22178" w:rsidRPr="006F4DB6" w:rsidRDefault="00B22178" w:rsidP="00B22178">
      <w:pPr>
        <w:spacing w:after="0" w:line="240" w:lineRule="auto"/>
        <w:rPr>
          <w:rFonts w:eastAsiaTheme="minorEastAsia" w:cstheme="minorHAnsi"/>
          <w:sz w:val="24"/>
          <w:szCs w:val="24"/>
        </w:rPr>
      </w:pPr>
      <w:r w:rsidRPr="006F4DB6">
        <w:rPr>
          <w:rFonts w:eastAsiaTheme="minorEastAsia" w:cstheme="minorHAnsi"/>
          <w:sz w:val="24"/>
          <w:szCs w:val="24"/>
        </w:rPr>
        <w:t>The following proposal includes an overview of our program offerings.  The Diversity Center’s programming style is a combination of both experiential and discussion</w:t>
      </w:r>
      <w:r w:rsidR="00517D92" w:rsidRPr="006F4DB6">
        <w:rPr>
          <w:rFonts w:eastAsiaTheme="minorEastAsia" w:cstheme="minorHAnsi"/>
          <w:sz w:val="24"/>
          <w:szCs w:val="24"/>
        </w:rPr>
        <w:t>-</w:t>
      </w:r>
      <w:r w:rsidRPr="006F4DB6">
        <w:rPr>
          <w:rFonts w:eastAsiaTheme="minorEastAsia" w:cstheme="minorHAnsi"/>
          <w:sz w:val="24"/>
          <w:szCs w:val="24"/>
        </w:rPr>
        <w:t xml:space="preserve">based learning sessions, structured around the goals and intended outcomes agreed upon by The Diversity Center and </w:t>
      </w:r>
      <w:r w:rsidR="00533405" w:rsidRPr="006F4DB6">
        <w:rPr>
          <w:rFonts w:eastAsiaTheme="minorEastAsia" w:cstheme="minorHAnsi"/>
          <w:sz w:val="24"/>
          <w:szCs w:val="24"/>
        </w:rPr>
        <w:t>Galion City Health Department</w:t>
      </w:r>
      <w:r w:rsidRPr="006F4DB6">
        <w:rPr>
          <w:rFonts w:eastAsiaTheme="minorEastAsia" w:cstheme="minorHAnsi"/>
          <w:sz w:val="24"/>
          <w:szCs w:val="24"/>
        </w:rPr>
        <w:t>.</w:t>
      </w:r>
    </w:p>
    <w:p w14:paraId="72E8D77D" w14:textId="77777777" w:rsidR="00B22178" w:rsidRPr="006F4DB6" w:rsidRDefault="00B22178" w:rsidP="00B22178">
      <w:pPr>
        <w:spacing w:after="0" w:line="240" w:lineRule="auto"/>
        <w:rPr>
          <w:rFonts w:eastAsiaTheme="minorEastAsia" w:cstheme="minorHAnsi"/>
          <w:sz w:val="24"/>
          <w:szCs w:val="24"/>
        </w:rPr>
      </w:pPr>
    </w:p>
    <w:p w14:paraId="699FBAE3" w14:textId="4385BAA8" w:rsidR="00B22178" w:rsidRPr="006F4DB6" w:rsidRDefault="00B22178" w:rsidP="00B22178">
      <w:pPr>
        <w:spacing w:after="0" w:line="240" w:lineRule="auto"/>
        <w:rPr>
          <w:rFonts w:eastAsiaTheme="minorEastAsia" w:cstheme="minorHAnsi"/>
          <w:sz w:val="24"/>
          <w:szCs w:val="24"/>
        </w:rPr>
      </w:pPr>
      <w:r w:rsidRPr="006F4DB6">
        <w:rPr>
          <w:rFonts w:eastAsiaTheme="minorEastAsia" w:cstheme="minorHAnsi"/>
          <w:sz w:val="24"/>
          <w:szCs w:val="24"/>
        </w:rPr>
        <w:t xml:space="preserve">This proposal is a working document between </w:t>
      </w:r>
      <w:r w:rsidR="00533405" w:rsidRPr="006F4DB6">
        <w:rPr>
          <w:rFonts w:eastAsiaTheme="minorEastAsia" w:cstheme="minorHAnsi"/>
          <w:sz w:val="24"/>
          <w:szCs w:val="24"/>
        </w:rPr>
        <w:t xml:space="preserve">Galion City Health Department </w:t>
      </w:r>
      <w:r w:rsidRPr="006F4DB6">
        <w:rPr>
          <w:rFonts w:eastAsiaTheme="minorEastAsia" w:cstheme="minorHAnsi"/>
          <w:sz w:val="24"/>
          <w:szCs w:val="24"/>
        </w:rPr>
        <w:t xml:space="preserve">and The Diversity Center, and has been created to share our organizational scope and sequence given the information </w:t>
      </w:r>
      <w:r w:rsidR="00533405" w:rsidRPr="006F4DB6">
        <w:rPr>
          <w:rFonts w:eastAsiaTheme="minorEastAsia" w:cstheme="minorHAnsi"/>
          <w:sz w:val="24"/>
          <w:szCs w:val="24"/>
        </w:rPr>
        <w:t xml:space="preserve">Galion City Health Department </w:t>
      </w:r>
      <w:r w:rsidRPr="006F4DB6">
        <w:rPr>
          <w:rFonts w:eastAsiaTheme="minorEastAsia" w:cstheme="minorHAnsi"/>
          <w:sz w:val="24"/>
          <w:szCs w:val="24"/>
        </w:rPr>
        <w:t xml:space="preserve">has provided.  This document is not meant to serve as a contract/binding agreement and can be amended by both parties until an agreement is reached.  Upon this decision, The Diversity Center will issue a standard contract that includes the final proposal. </w:t>
      </w:r>
    </w:p>
    <w:p w14:paraId="2FD186A2" w14:textId="77777777" w:rsidR="00B22178" w:rsidRPr="006F4DB6" w:rsidRDefault="00B22178" w:rsidP="00B22178">
      <w:pPr>
        <w:spacing w:after="0" w:line="240" w:lineRule="auto"/>
        <w:rPr>
          <w:rFonts w:eastAsiaTheme="minorEastAsia" w:cstheme="minorHAnsi"/>
          <w:sz w:val="24"/>
          <w:szCs w:val="24"/>
          <w:u w:val="single"/>
        </w:rPr>
      </w:pPr>
    </w:p>
    <w:p w14:paraId="1426CB79" w14:textId="41D31959" w:rsidR="00B22178" w:rsidRPr="006F4DB6" w:rsidRDefault="00B22178" w:rsidP="00B22178">
      <w:pPr>
        <w:spacing w:after="200" w:line="240" w:lineRule="auto"/>
        <w:rPr>
          <w:rFonts w:eastAsiaTheme="minorEastAsia" w:cstheme="minorHAnsi"/>
          <w:sz w:val="24"/>
          <w:szCs w:val="24"/>
        </w:rPr>
      </w:pPr>
      <w:r w:rsidRPr="006F4DB6">
        <w:rPr>
          <w:rFonts w:eastAsiaTheme="minorEastAsia" w:cstheme="minorHAnsi"/>
          <w:sz w:val="24"/>
          <w:szCs w:val="24"/>
        </w:rPr>
        <w:t xml:space="preserve">The Diversity Center is dedicated to the development and design of impactful initiatives.  All programs must be scheduled at least 30 days in advance.  Additional charges may apply for expedited sessions.  All assessments must be completed at least 3 weeks prior to the date of the first scheduled session.  If the assessments are not completed by the agreed upon date, additional charges will apply for the expedited shipping of class materials. Unless otherwise noted, all program costs include: preparation, program facilitation, materials, and post-evaluation.  Please note that a contract must be executed within </w:t>
      </w:r>
      <w:r w:rsidR="00591668" w:rsidRPr="006F4DB6">
        <w:rPr>
          <w:rFonts w:eastAsiaTheme="minorEastAsia" w:cstheme="minorHAnsi"/>
          <w:sz w:val="24"/>
          <w:szCs w:val="24"/>
        </w:rPr>
        <w:t>30 days</w:t>
      </w:r>
      <w:r w:rsidRPr="006F4DB6">
        <w:rPr>
          <w:rFonts w:eastAsiaTheme="minorEastAsia" w:cstheme="minorHAnsi"/>
          <w:sz w:val="24"/>
          <w:szCs w:val="24"/>
        </w:rPr>
        <w:t xml:space="preserve"> from the date of this proposal or prices may be subject to change.</w:t>
      </w:r>
    </w:p>
    <w:p w14:paraId="2F589389" w14:textId="77777777" w:rsidR="00B22178" w:rsidRPr="006F4DB6" w:rsidRDefault="00B22178" w:rsidP="00B22178">
      <w:pPr>
        <w:spacing w:after="0" w:line="240" w:lineRule="auto"/>
        <w:rPr>
          <w:rFonts w:eastAsiaTheme="minorEastAsia" w:cstheme="minorHAnsi"/>
          <w:sz w:val="24"/>
          <w:szCs w:val="24"/>
        </w:rPr>
      </w:pPr>
      <w:r w:rsidRPr="006F4DB6">
        <w:rPr>
          <w:rFonts w:eastAsiaTheme="minorEastAsia" w:cstheme="minorHAnsi"/>
          <w:sz w:val="24"/>
          <w:szCs w:val="24"/>
        </w:rPr>
        <w:t>Respectfully submitted,</w:t>
      </w:r>
    </w:p>
    <w:p w14:paraId="2042EA1B" w14:textId="77777777" w:rsidR="003534A9" w:rsidRPr="006F4DB6" w:rsidRDefault="003534A9" w:rsidP="003534A9">
      <w:pPr>
        <w:spacing w:after="0" w:line="240" w:lineRule="auto"/>
        <w:rPr>
          <w:rFonts w:eastAsiaTheme="minorEastAsia" w:cstheme="minorHAnsi"/>
          <w:sz w:val="24"/>
          <w:szCs w:val="24"/>
        </w:rPr>
      </w:pPr>
    </w:p>
    <w:p w14:paraId="421BBF09" w14:textId="4FDE3009" w:rsidR="003534A9" w:rsidRPr="006F4DB6" w:rsidRDefault="003534A9" w:rsidP="003534A9">
      <w:pPr>
        <w:spacing w:after="200" w:line="240" w:lineRule="auto"/>
        <w:rPr>
          <w:rFonts w:eastAsiaTheme="minorEastAsia" w:cstheme="minorHAnsi"/>
          <w:sz w:val="28"/>
          <w:szCs w:val="28"/>
        </w:rPr>
      </w:pPr>
      <w:r w:rsidRPr="006F4DB6">
        <w:rPr>
          <w:rFonts w:eastAsia="Times New Roman" w:cstheme="minorHAnsi"/>
          <w:noProof/>
          <w:sz w:val="24"/>
          <w:szCs w:val="24"/>
        </w:rPr>
        <w:drawing>
          <wp:inline distT="0" distB="0" distL="0" distR="0" wp14:anchorId="27F2A3F2" wp14:editId="22883D61">
            <wp:extent cx="1288208" cy="44767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305112" cy="453549"/>
                    </a:xfrm>
                    <a:prstGeom prst="rect">
                      <a:avLst/>
                    </a:prstGeom>
                  </pic:spPr>
                </pic:pic>
              </a:graphicData>
            </a:graphic>
          </wp:inline>
        </w:drawing>
      </w:r>
      <w:r w:rsidRPr="006F4DB6">
        <w:rPr>
          <w:rFonts w:eastAsia="Times New Roman" w:cstheme="minorHAnsi"/>
          <w:sz w:val="28"/>
          <w:szCs w:val="24"/>
        </w:rPr>
        <w:tab/>
      </w:r>
      <w:r w:rsidRPr="006F4DB6">
        <w:rPr>
          <w:rFonts w:eastAsia="Times New Roman" w:cstheme="minorHAnsi"/>
          <w:sz w:val="28"/>
          <w:szCs w:val="24"/>
        </w:rPr>
        <w:tab/>
      </w:r>
      <w:r w:rsidRPr="006F4DB6">
        <w:rPr>
          <w:rFonts w:eastAsia="Times New Roman" w:cstheme="minorHAnsi"/>
          <w:sz w:val="28"/>
          <w:szCs w:val="24"/>
        </w:rPr>
        <w:tab/>
      </w:r>
      <w:r w:rsidRPr="006F4DB6">
        <w:rPr>
          <w:rFonts w:eastAsia="Times New Roman" w:cstheme="minorHAnsi"/>
          <w:sz w:val="28"/>
          <w:szCs w:val="24"/>
        </w:rPr>
        <w:tab/>
      </w:r>
      <w:r w:rsidRPr="006F4DB6">
        <w:rPr>
          <w:rFonts w:eastAsia="Times New Roman" w:cstheme="minorHAnsi"/>
          <w:sz w:val="28"/>
          <w:szCs w:val="24"/>
        </w:rPr>
        <w:tab/>
      </w:r>
      <w:r w:rsidRPr="006F4DB6">
        <w:rPr>
          <w:rFonts w:eastAsia="Times New Roman" w:cstheme="minorHAnsi"/>
          <w:sz w:val="28"/>
          <w:szCs w:val="24"/>
        </w:rPr>
        <w:tab/>
      </w:r>
      <w:r w:rsidRPr="006F4DB6">
        <w:rPr>
          <w:rFonts w:eastAsia="Times New Roman" w:cstheme="minorHAnsi"/>
          <w:sz w:val="28"/>
          <w:szCs w:val="24"/>
        </w:rPr>
        <w:tab/>
      </w:r>
    </w:p>
    <w:p w14:paraId="3D7CA312" w14:textId="19E5B71E" w:rsidR="003534A9" w:rsidRPr="006F4DB6" w:rsidRDefault="003534A9" w:rsidP="003534A9">
      <w:pPr>
        <w:spacing w:after="0" w:line="240" w:lineRule="auto"/>
        <w:rPr>
          <w:rFonts w:eastAsiaTheme="minorEastAsia" w:cstheme="minorHAnsi"/>
        </w:rPr>
      </w:pPr>
      <w:r w:rsidRPr="006F4DB6">
        <w:rPr>
          <w:rFonts w:eastAsiaTheme="minorEastAsia" w:cstheme="minorHAnsi"/>
        </w:rPr>
        <w:t>Jeff Modzelewski</w:t>
      </w:r>
      <w:r w:rsidRPr="006F4DB6">
        <w:rPr>
          <w:rFonts w:eastAsia="Calibri" w:cstheme="minorHAnsi"/>
        </w:rPr>
        <w:tab/>
      </w:r>
      <w:r w:rsidRPr="006F4DB6">
        <w:rPr>
          <w:rFonts w:eastAsia="Calibri" w:cstheme="minorHAnsi"/>
        </w:rPr>
        <w:tab/>
      </w:r>
      <w:r w:rsidRPr="006F4DB6">
        <w:rPr>
          <w:rFonts w:eastAsia="Calibri" w:cstheme="minorHAnsi"/>
        </w:rPr>
        <w:tab/>
      </w:r>
      <w:r w:rsidRPr="006F4DB6">
        <w:rPr>
          <w:rFonts w:eastAsia="Calibri" w:cstheme="minorHAnsi"/>
        </w:rPr>
        <w:tab/>
      </w:r>
      <w:r w:rsidRPr="006F4DB6">
        <w:rPr>
          <w:rFonts w:eastAsia="Calibri" w:cstheme="minorHAnsi"/>
        </w:rPr>
        <w:tab/>
      </w:r>
      <w:r w:rsidRPr="006F4DB6">
        <w:rPr>
          <w:rFonts w:eastAsia="Calibri" w:cstheme="minorHAnsi"/>
        </w:rPr>
        <w:tab/>
      </w:r>
      <w:r w:rsidRPr="006F4DB6">
        <w:rPr>
          <w:rFonts w:eastAsiaTheme="minorEastAsia" w:cstheme="minorHAnsi"/>
        </w:rPr>
        <w:t xml:space="preserve">       </w:t>
      </w:r>
      <w:r w:rsidRPr="006F4DB6">
        <w:rPr>
          <w:rFonts w:eastAsiaTheme="minorEastAsia" w:cstheme="minorHAnsi"/>
          <w:sz w:val="24"/>
          <w:szCs w:val="24"/>
        </w:rPr>
        <w:t xml:space="preserve"> </w:t>
      </w:r>
    </w:p>
    <w:p w14:paraId="7188CB78" w14:textId="1F28D30E" w:rsidR="003534A9" w:rsidRPr="006F4DB6" w:rsidRDefault="000C5E47" w:rsidP="003534A9">
      <w:pPr>
        <w:spacing w:after="0" w:line="240" w:lineRule="auto"/>
        <w:rPr>
          <w:rFonts w:eastAsiaTheme="minorEastAsia" w:cstheme="minorHAnsi"/>
        </w:rPr>
      </w:pPr>
      <w:r w:rsidRPr="006F4DB6">
        <w:rPr>
          <w:rFonts w:eastAsiaTheme="minorEastAsia" w:cstheme="minorHAnsi"/>
          <w:i/>
          <w:iCs/>
        </w:rPr>
        <w:t xml:space="preserve">Director of </w:t>
      </w:r>
      <w:r w:rsidR="00E26C90" w:rsidRPr="006F4DB6">
        <w:rPr>
          <w:rFonts w:eastAsiaTheme="minorEastAsia" w:cstheme="minorHAnsi"/>
          <w:i/>
          <w:iCs/>
        </w:rPr>
        <w:t xml:space="preserve">Engagement, </w:t>
      </w:r>
      <w:r w:rsidRPr="006F4DB6">
        <w:rPr>
          <w:rFonts w:eastAsiaTheme="minorEastAsia" w:cstheme="minorHAnsi"/>
          <w:i/>
          <w:iCs/>
        </w:rPr>
        <w:t>SHIFT Consulting</w:t>
      </w:r>
      <w:r w:rsidRPr="006F4DB6">
        <w:rPr>
          <w:rFonts w:eastAsiaTheme="minorEastAsia" w:cstheme="minorHAnsi"/>
          <w:i/>
          <w:iCs/>
        </w:rPr>
        <w:tab/>
      </w:r>
      <w:r w:rsidRPr="006F4DB6">
        <w:rPr>
          <w:rFonts w:eastAsiaTheme="minorEastAsia" w:cstheme="minorHAnsi"/>
          <w:i/>
          <w:iCs/>
        </w:rPr>
        <w:tab/>
      </w:r>
      <w:r w:rsidR="003534A9" w:rsidRPr="006F4DB6">
        <w:rPr>
          <w:rFonts w:eastAsia="Calibri" w:cstheme="minorHAnsi"/>
          <w:iCs/>
        </w:rPr>
        <w:tab/>
      </w:r>
      <w:r w:rsidR="003534A9" w:rsidRPr="006F4DB6">
        <w:rPr>
          <w:rFonts w:eastAsia="Calibri" w:cstheme="minorHAnsi"/>
          <w:iCs/>
        </w:rPr>
        <w:tab/>
      </w:r>
      <w:r w:rsidR="003534A9" w:rsidRPr="006F4DB6">
        <w:rPr>
          <w:rFonts w:eastAsia="Calibri" w:cstheme="minorHAnsi"/>
          <w:iCs/>
        </w:rPr>
        <w:tab/>
      </w:r>
      <w:r w:rsidR="003534A9" w:rsidRPr="006F4DB6">
        <w:rPr>
          <w:rFonts w:eastAsiaTheme="minorEastAsia" w:cstheme="minorHAnsi"/>
        </w:rPr>
        <w:t xml:space="preserve">        </w:t>
      </w:r>
    </w:p>
    <w:p w14:paraId="7875AF51" w14:textId="77777777" w:rsidR="00A83B67" w:rsidRPr="006F4DB6" w:rsidRDefault="00A83B67" w:rsidP="00A83B67">
      <w:pPr>
        <w:spacing w:after="0" w:line="240" w:lineRule="auto"/>
        <w:rPr>
          <w:rFonts w:eastAsia="Times New Roman" w:cstheme="minorHAnsi"/>
          <w:sz w:val="24"/>
          <w:szCs w:val="24"/>
        </w:rPr>
      </w:pPr>
    </w:p>
    <w:p w14:paraId="10A5D795" w14:textId="77777777" w:rsidR="00BE0A44" w:rsidRPr="006F4DB6" w:rsidRDefault="00BE0A44" w:rsidP="00BE0A44">
      <w:pPr>
        <w:pStyle w:val="xmsonormal"/>
        <w:shd w:val="clear" w:color="auto" w:fill="FFFFFF"/>
        <w:spacing w:before="0" w:beforeAutospacing="0" w:after="0" w:afterAutospacing="0"/>
        <w:jc w:val="center"/>
        <w:rPr>
          <w:rFonts w:asciiTheme="minorHAnsi" w:hAnsiTheme="minorHAnsi" w:cstheme="minorHAnsi"/>
          <w:color w:val="212121"/>
          <w:sz w:val="22"/>
          <w:szCs w:val="22"/>
        </w:rPr>
      </w:pPr>
      <w:r w:rsidRPr="006F4DB6">
        <w:rPr>
          <w:rFonts w:asciiTheme="minorHAnsi" w:hAnsiTheme="minorHAnsi" w:cstheme="minorHAnsi"/>
          <w:b/>
          <w:bCs/>
          <w:color w:val="000000"/>
          <w:sz w:val="32"/>
          <w:szCs w:val="32"/>
          <w:bdr w:val="none" w:sz="0" w:space="0" w:color="auto" w:frame="1"/>
        </w:rPr>
        <w:t>Partnership Overview</w:t>
      </w:r>
    </w:p>
    <w:p w14:paraId="454C2274" w14:textId="77777777" w:rsidR="00BE0A44" w:rsidRPr="006F4DB6" w:rsidRDefault="00BE0A44" w:rsidP="00BE0A44">
      <w:pPr>
        <w:pStyle w:val="xmsonormal"/>
        <w:shd w:val="clear" w:color="auto" w:fill="FFFFFF"/>
        <w:spacing w:before="0" w:beforeAutospacing="0" w:after="0" w:afterAutospacing="0"/>
        <w:rPr>
          <w:rFonts w:asciiTheme="minorHAnsi" w:hAnsiTheme="minorHAnsi" w:cstheme="minorHAnsi"/>
          <w:color w:val="212121"/>
          <w:sz w:val="22"/>
          <w:szCs w:val="22"/>
        </w:rPr>
      </w:pPr>
      <w:r w:rsidRPr="006F4DB6">
        <w:rPr>
          <w:rFonts w:asciiTheme="minorHAnsi" w:hAnsiTheme="minorHAnsi" w:cstheme="minorHAnsi"/>
          <w:b/>
          <w:bCs/>
          <w:color w:val="212121"/>
          <w:sz w:val="28"/>
          <w:szCs w:val="28"/>
          <w:bdr w:val="none" w:sz="0" w:space="0" w:color="auto" w:frame="1"/>
        </w:rPr>
        <w:t> </w:t>
      </w:r>
    </w:p>
    <w:p w14:paraId="14D2A63E" w14:textId="347E719F" w:rsidR="00BE0A44" w:rsidRPr="006F4DB6" w:rsidRDefault="00BE0A44" w:rsidP="00BE0A44">
      <w:pPr>
        <w:pStyle w:val="xmsonormal"/>
        <w:shd w:val="clear" w:color="auto" w:fill="FFFFFF"/>
        <w:spacing w:before="0" w:beforeAutospacing="0" w:after="0" w:afterAutospacing="0"/>
        <w:rPr>
          <w:rFonts w:asciiTheme="minorHAnsi" w:hAnsiTheme="minorHAnsi" w:cstheme="minorHAnsi"/>
          <w:sz w:val="22"/>
          <w:szCs w:val="22"/>
        </w:rPr>
      </w:pPr>
      <w:r w:rsidRPr="006F4DB6">
        <w:rPr>
          <w:rFonts w:asciiTheme="minorHAnsi" w:hAnsiTheme="minorHAnsi" w:cstheme="minorHAnsi"/>
          <w:bdr w:val="none" w:sz="0" w:space="0" w:color="auto" w:frame="1"/>
        </w:rPr>
        <w:t xml:space="preserve">Diversity, equity, and inclusion are critical components to the success of an organization.  Research continues to demonstrate that when effectively managed, diverse workforces are more productive, innovative, creative, and better at solving complex problems. While the benefits to fostering inclusion in the workplace are well documented, developing systems and practices that allow for these benefits to be realized can be both a rewarding and challenging experience.  At The Diversity Center, we are here to support your efforts and help you to leverage and meet the needs of your workforce.  We will partner with you to turn diversity and inclusion into an intentional and strategic advantage that benefits the individuals and teams within your organization, and ultimately the overall success of </w:t>
      </w:r>
      <w:r w:rsidR="00533405" w:rsidRPr="006F4DB6">
        <w:rPr>
          <w:rFonts w:asciiTheme="minorHAnsi" w:eastAsiaTheme="minorEastAsia" w:hAnsiTheme="minorHAnsi" w:cstheme="minorHAnsi"/>
        </w:rPr>
        <w:t>Galion City Health Department</w:t>
      </w:r>
      <w:r w:rsidRPr="006F4DB6">
        <w:rPr>
          <w:rFonts w:asciiTheme="minorHAnsi" w:hAnsiTheme="minorHAnsi" w:cstheme="minorHAnsi"/>
          <w:bdr w:val="none" w:sz="0" w:space="0" w:color="auto" w:frame="1"/>
        </w:rPr>
        <w:t>.</w:t>
      </w:r>
    </w:p>
    <w:p w14:paraId="704053CA" w14:textId="77777777" w:rsidR="00BE0A44" w:rsidRPr="006F4DB6" w:rsidRDefault="00BE0A44" w:rsidP="00BE0A44">
      <w:pPr>
        <w:pStyle w:val="xmsonormal"/>
        <w:shd w:val="clear" w:color="auto" w:fill="FFFFFF"/>
        <w:spacing w:before="0" w:beforeAutospacing="0" w:after="0" w:afterAutospacing="0"/>
        <w:rPr>
          <w:rFonts w:asciiTheme="minorHAnsi" w:hAnsiTheme="minorHAnsi" w:cstheme="minorHAnsi"/>
          <w:sz w:val="22"/>
          <w:szCs w:val="22"/>
        </w:rPr>
      </w:pPr>
      <w:r w:rsidRPr="006F4DB6">
        <w:rPr>
          <w:rFonts w:asciiTheme="minorHAnsi" w:hAnsiTheme="minorHAnsi" w:cstheme="minorHAnsi"/>
          <w:bdr w:val="none" w:sz="0" w:space="0" w:color="auto" w:frame="1"/>
        </w:rPr>
        <w:t> </w:t>
      </w:r>
    </w:p>
    <w:p w14:paraId="6EDB6038" w14:textId="69FAD0C8" w:rsidR="00BE0A44" w:rsidRPr="006F4DB6" w:rsidRDefault="00BE0A44" w:rsidP="00BE0A44">
      <w:pPr>
        <w:pStyle w:val="xmsonormal"/>
        <w:shd w:val="clear" w:color="auto" w:fill="FFFFFF"/>
        <w:spacing w:before="0" w:beforeAutospacing="0" w:after="0" w:afterAutospacing="0"/>
        <w:rPr>
          <w:rFonts w:asciiTheme="minorHAnsi" w:hAnsiTheme="minorHAnsi" w:cstheme="minorHAnsi"/>
          <w:sz w:val="22"/>
          <w:szCs w:val="22"/>
        </w:rPr>
      </w:pPr>
      <w:r w:rsidRPr="006F4DB6">
        <w:rPr>
          <w:rFonts w:asciiTheme="minorHAnsi" w:hAnsiTheme="minorHAnsi" w:cstheme="minorHAnsi"/>
          <w:bdr w:val="none" w:sz="0" w:space="0" w:color="auto" w:frame="1"/>
        </w:rPr>
        <w:t xml:space="preserve">The following proposal will include customized content designed specifically for the unique needs and culture of </w:t>
      </w:r>
      <w:r w:rsidR="00533405" w:rsidRPr="006F4DB6">
        <w:rPr>
          <w:rFonts w:asciiTheme="minorHAnsi" w:eastAsiaTheme="minorEastAsia" w:hAnsiTheme="minorHAnsi" w:cstheme="minorHAnsi"/>
        </w:rPr>
        <w:t>Galion City Health Department</w:t>
      </w:r>
      <w:r w:rsidRPr="006F4DB6">
        <w:rPr>
          <w:rFonts w:asciiTheme="minorHAnsi" w:hAnsiTheme="minorHAnsi" w:cstheme="minorHAnsi"/>
          <w:bdr w:val="none" w:sz="0" w:space="0" w:color="auto" w:frame="1"/>
        </w:rPr>
        <w:t>, coupled with the provision of insights from experts in the field of diversity and inclusion, and information on best practices. </w:t>
      </w:r>
    </w:p>
    <w:p w14:paraId="71073DA6" w14:textId="77777777" w:rsidR="00BE0A44" w:rsidRPr="006F4DB6" w:rsidRDefault="00BE0A44" w:rsidP="00BE0A44">
      <w:pPr>
        <w:rPr>
          <w:rFonts w:eastAsiaTheme="minorEastAsia" w:cstheme="minorHAnsi"/>
          <w:b/>
          <w:bCs/>
          <w:color w:val="000000" w:themeColor="text1"/>
          <w:sz w:val="32"/>
          <w:szCs w:val="28"/>
        </w:rPr>
      </w:pPr>
    </w:p>
    <w:p w14:paraId="2C424DCF" w14:textId="1C52F028" w:rsidR="00963443" w:rsidRPr="006F4DB6" w:rsidRDefault="00963443" w:rsidP="00BE0A44">
      <w:pPr>
        <w:rPr>
          <w:rFonts w:eastAsiaTheme="minorEastAsia" w:cstheme="minorHAnsi"/>
          <w:b/>
          <w:bCs/>
          <w:color w:val="000000" w:themeColor="text1"/>
          <w:sz w:val="32"/>
          <w:szCs w:val="28"/>
        </w:rPr>
      </w:pPr>
    </w:p>
    <w:p w14:paraId="31A3097A" w14:textId="77777777" w:rsidR="00963443" w:rsidRPr="006F4DB6" w:rsidRDefault="00963443" w:rsidP="00963443">
      <w:pPr>
        <w:rPr>
          <w:rFonts w:eastAsiaTheme="minorEastAsia" w:cstheme="minorHAnsi"/>
          <w:sz w:val="32"/>
          <w:szCs w:val="28"/>
        </w:rPr>
      </w:pPr>
    </w:p>
    <w:p w14:paraId="1F694059" w14:textId="77777777" w:rsidR="00963443" w:rsidRPr="006F4DB6" w:rsidRDefault="00963443" w:rsidP="00963443">
      <w:pPr>
        <w:rPr>
          <w:rFonts w:eastAsiaTheme="minorEastAsia" w:cstheme="minorHAnsi"/>
          <w:sz w:val="32"/>
          <w:szCs w:val="28"/>
        </w:rPr>
      </w:pPr>
    </w:p>
    <w:p w14:paraId="720AB724" w14:textId="77777777" w:rsidR="00963443" w:rsidRPr="006F4DB6" w:rsidRDefault="00963443" w:rsidP="00963443">
      <w:pPr>
        <w:rPr>
          <w:rFonts w:eastAsiaTheme="minorEastAsia" w:cstheme="minorHAnsi"/>
          <w:sz w:val="32"/>
          <w:szCs w:val="28"/>
        </w:rPr>
      </w:pPr>
    </w:p>
    <w:p w14:paraId="254C5E4E" w14:textId="77777777" w:rsidR="00963443" w:rsidRPr="006F4DB6" w:rsidRDefault="00963443" w:rsidP="00963443">
      <w:pPr>
        <w:rPr>
          <w:rFonts w:eastAsiaTheme="minorEastAsia" w:cstheme="minorHAnsi"/>
          <w:sz w:val="32"/>
          <w:szCs w:val="28"/>
        </w:rPr>
      </w:pPr>
    </w:p>
    <w:p w14:paraId="625CF0F6" w14:textId="77777777" w:rsidR="00963443" w:rsidRPr="006F4DB6" w:rsidRDefault="00963443" w:rsidP="00963443">
      <w:pPr>
        <w:rPr>
          <w:rFonts w:eastAsiaTheme="minorEastAsia" w:cstheme="minorHAnsi"/>
          <w:sz w:val="32"/>
          <w:szCs w:val="28"/>
        </w:rPr>
      </w:pPr>
    </w:p>
    <w:p w14:paraId="45D2A9CA" w14:textId="77777777" w:rsidR="00963443" w:rsidRPr="006F4DB6" w:rsidRDefault="00963443" w:rsidP="00963443">
      <w:pPr>
        <w:rPr>
          <w:rFonts w:eastAsiaTheme="minorEastAsia" w:cstheme="minorHAnsi"/>
          <w:sz w:val="32"/>
          <w:szCs w:val="28"/>
        </w:rPr>
      </w:pPr>
    </w:p>
    <w:p w14:paraId="4DF02E20" w14:textId="77777777" w:rsidR="00963443" w:rsidRPr="006F4DB6" w:rsidRDefault="00963443" w:rsidP="00963443">
      <w:pPr>
        <w:rPr>
          <w:rFonts w:eastAsiaTheme="minorEastAsia" w:cstheme="minorHAnsi"/>
          <w:sz w:val="32"/>
          <w:szCs w:val="28"/>
        </w:rPr>
      </w:pPr>
    </w:p>
    <w:p w14:paraId="62CF4A13" w14:textId="77777777" w:rsidR="00963443" w:rsidRPr="006F4DB6" w:rsidRDefault="00963443" w:rsidP="00963443">
      <w:pPr>
        <w:rPr>
          <w:rFonts w:eastAsiaTheme="minorEastAsia" w:cstheme="minorHAnsi"/>
          <w:sz w:val="32"/>
          <w:szCs w:val="28"/>
        </w:rPr>
      </w:pPr>
    </w:p>
    <w:p w14:paraId="1CF61D4C" w14:textId="77777777" w:rsidR="00963443" w:rsidRPr="006F4DB6" w:rsidRDefault="00963443" w:rsidP="00963443">
      <w:pPr>
        <w:rPr>
          <w:rFonts w:eastAsiaTheme="minorEastAsia" w:cstheme="minorHAnsi"/>
          <w:sz w:val="32"/>
          <w:szCs w:val="28"/>
        </w:rPr>
      </w:pPr>
    </w:p>
    <w:p w14:paraId="199B40C5" w14:textId="77777777" w:rsidR="00963443" w:rsidRPr="006F4DB6" w:rsidRDefault="00963443" w:rsidP="00963443">
      <w:pPr>
        <w:rPr>
          <w:rFonts w:eastAsiaTheme="minorEastAsia" w:cstheme="minorHAnsi"/>
          <w:sz w:val="32"/>
          <w:szCs w:val="28"/>
        </w:rPr>
      </w:pPr>
    </w:p>
    <w:p w14:paraId="338E86B0" w14:textId="0A2337F4" w:rsidR="00FA1404" w:rsidRPr="006F4DB6" w:rsidRDefault="00E4034B" w:rsidP="00BE0A44">
      <w:pPr>
        <w:rPr>
          <w:rFonts w:eastAsiaTheme="minorEastAsia" w:cstheme="minorHAnsi"/>
          <w:b/>
          <w:bCs/>
          <w:color w:val="000000" w:themeColor="text1"/>
          <w:sz w:val="32"/>
          <w:szCs w:val="28"/>
        </w:rPr>
      </w:pPr>
      <w:r w:rsidRPr="006F4DB6">
        <w:rPr>
          <w:rFonts w:eastAsiaTheme="minorEastAsia" w:cstheme="minorHAnsi"/>
          <w:sz w:val="32"/>
          <w:szCs w:val="28"/>
        </w:rPr>
        <w:br w:type="column"/>
      </w:r>
      <w:r w:rsidR="003E7590" w:rsidRPr="006F4DB6">
        <w:rPr>
          <w:rFonts w:eastAsiaTheme="minorEastAsia" w:cstheme="minorHAnsi"/>
          <w:b/>
          <w:bCs/>
          <w:color w:val="000000" w:themeColor="text1"/>
          <w:sz w:val="32"/>
          <w:szCs w:val="28"/>
        </w:rPr>
        <w:lastRenderedPageBreak/>
        <w:t>Program Descriptions</w:t>
      </w:r>
    </w:p>
    <w:p w14:paraId="03E5FEB0" w14:textId="77777777" w:rsidR="00533405" w:rsidRPr="006F4DB6" w:rsidRDefault="00533405" w:rsidP="00533405">
      <w:pPr>
        <w:pStyle w:val="NormalWeb"/>
        <w:spacing w:before="0" w:beforeAutospacing="0" w:after="0" w:afterAutospacing="0"/>
      </w:pPr>
      <w:r w:rsidRPr="006F4DB6">
        <w:rPr>
          <w:rFonts w:asciiTheme="minorHAnsi" w:hAnsiTheme="minorHAnsi" w:cstheme="minorBidi"/>
          <w:b/>
          <w:bCs/>
          <w:color w:val="000000" w:themeColor="text1"/>
          <w:sz w:val="28"/>
          <w:szCs w:val="28"/>
        </w:rPr>
        <w:t>Creating Inclusive Workplaces</w:t>
      </w:r>
      <w:bookmarkStart w:id="0" w:name="_Hlk102636654"/>
    </w:p>
    <w:p w14:paraId="29684DF3" w14:textId="77777777" w:rsidR="00533405" w:rsidRPr="006F4DB6" w:rsidRDefault="00533405" w:rsidP="00533405">
      <w:pPr>
        <w:pStyle w:val="NormalWeb"/>
        <w:shd w:val="clear" w:color="auto" w:fill="FFFFFF" w:themeFill="background1"/>
        <w:spacing w:before="0" w:beforeAutospacing="0" w:after="0" w:afterAutospacing="0"/>
        <w:rPr>
          <w:rFonts w:asciiTheme="minorHAnsi" w:hAnsiTheme="minorHAnsi" w:cstheme="minorBidi"/>
          <w:color w:val="000000"/>
          <w:sz w:val="22"/>
          <w:szCs w:val="22"/>
        </w:rPr>
      </w:pPr>
    </w:p>
    <w:p w14:paraId="21833CF8" w14:textId="77777777" w:rsidR="00533405" w:rsidRPr="006F4DB6" w:rsidRDefault="00533405" w:rsidP="00533405">
      <w:pPr>
        <w:pStyle w:val="NormalWeb"/>
        <w:shd w:val="clear" w:color="auto" w:fill="FFFFFF" w:themeFill="background1"/>
        <w:spacing w:before="0" w:beforeAutospacing="0" w:after="0" w:afterAutospacing="0"/>
        <w:rPr>
          <w:rFonts w:asciiTheme="minorHAnsi" w:hAnsiTheme="minorHAnsi" w:cstheme="minorBidi"/>
          <w:color w:val="000000" w:themeColor="text1"/>
        </w:rPr>
      </w:pPr>
      <w:r w:rsidRPr="006F4DB6">
        <w:rPr>
          <w:rFonts w:asciiTheme="minorHAnsi" w:hAnsiTheme="minorHAnsi" w:cstheme="minorBidi"/>
          <w:color w:val="000000"/>
          <w:bdr w:val="none" w:sz="0" w:space="0" w:color="auto" w:frame="1"/>
        </w:rPr>
        <w:t xml:space="preserve">This foundational professional development workshop serves as an introduction to concepts of diversity, inclusion, equity and belonging in the workplace.  In this session we will explore and discuss the importance of intentional inclusion and the detriments of exclusion </w:t>
      </w:r>
      <w:r w:rsidRPr="006F4DB6">
        <w:rPr>
          <w:rFonts w:asciiTheme="minorHAnsi" w:hAnsiTheme="minorHAnsi" w:cstheme="minorBidi"/>
          <w:color w:val="000000" w:themeColor="text1"/>
        </w:rPr>
        <w:t xml:space="preserve">in organizations. </w:t>
      </w:r>
    </w:p>
    <w:p w14:paraId="42C6B9D4" w14:textId="77777777" w:rsidR="00533405" w:rsidRPr="006F4DB6" w:rsidRDefault="00533405" w:rsidP="00533405">
      <w:pPr>
        <w:pStyle w:val="NormalWeb"/>
        <w:shd w:val="clear" w:color="auto" w:fill="FFFFFF" w:themeFill="background1"/>
        <w:spacing w:before="0" w:beforeAutospacing="0" w:after="0" w:afterAutospacing="0"/>
        <w:rPr>
          <w:rFonts w:asciiTheme="minorHAnsi" w:hAnsiTheme="minorHAnsi" w:cstheme="minorBidi"/>
          <w:color w:val="000000" w:themeColor="text1"/>
        </w:rPr>
      </w:pPr>
    </w:p>
    <w:p w14:paraId="5CD3DBA5" w14:textId="77777777" w:rsidR="00533405" w:rsidRPr="006F4DB6" w:rsidRDefault="00533405" w:rsidP="00533405">
      <w:pPr>
        <w:pStyle w:val="NormalWeb"/>
        <w:shd w:val="clear" w:color="auto" w:fill="FFFFFF" w:themeFill="background1"/>
        <w:spacing w:before="0" w:beforeAutospacing="0" w:after="0" w:afterAutospacing="0"/>
        <w:rPr>
          <w:rFonts w:asciiTheme="minorHAnsi" w:hAnsiTheme="minorHAnsi" w:cstheme="minorBidi"/>
          <w:color w:val="000000" w:themeColor="text1"/>
        </w:rPr>
      </w:pPr>
      <w:r w:rsidRPr="006F4DB6">
        <w:rPr>
          <w:rFonts w:asciiTheme="minorHAnsi" w:hAnsiTheme="minorHAnsi" w:cstheme="minorBidi"/>
          <w:color w:val="000000" w:themeColor="text1"/>
        </w:rPr>
        <w:t xml:space="preserve">Participants will learn how their own unique identities shape their experiences and impact their day-to-day interactions with others. They will learn strategies for recognizing bias and disrupting its effects on employee and customer/client relations, which can manifest in exclusionary behavior, speech, and practices. </w:t>
      </w:r>
      <w:r w:rsidRPr="006F4DB6">
        <w:rPr>
          <w:rFonts w:asciiTheme="minorHAnsi" w:hAnsiTheme="minorHAnsi" w:cstheme="minorBidi"/>
          <w:color w:val="000000"/>
          <w:bdr w:val="none" w:sz="0" w:space="0" w:color="auto" w:frame="1"/>
        </w:rPr>
        <w:t>Participants will examine the role of bias in communication and receive tools that will aid them in addressing exclusionary behavior when it occurs. Additionally, tips and best practices for receiving critical feedback regarding the negative impact of exclusion will be provided. </w:t>
      </w:r>
    </w:p>
    <w:p w14:paraId="469E3CC8" w14:textId="77777777" w:rsidR="00533405" w:rsidRPr="006F4DB6" w:rsidRDefault="00533405" w:rsidP="00533405">
      <w:pPr>
        <w:pStyle w:val="NormalWeb"/>
        <w:shd w:val="clear" w:color="auto" w:fill="FFFFFF" w:themeFill="background1"/>
        <w:spacing w:before="0" w:beforeAutospacing="0" w:after="0" w:afterAutospacing="0"/>
        <w:rPr>
          <w:rFonts w:asciiTheme="minorHAnsi" w:hAnsiTheme="minorHAnsi" w:cstheme="minorBidi"/>
          <w:color w:val="000000" w:themeColor="text1"/>
        </w:rPr>
      </w:pPr>
    </w:p>
    <w:p w14:paraId="3F8E9774" w14:textId="77777777" w:rsidR="00533405" w:rsidRPr="006F4DB6" w:rsidRDefault="00533405" w:rsidP="00533405">
      <w:pPr>
        <w:pStyle w:val="NormalWeb"/>
        <w:shd w:val="clear" w:color="auto" w:fill="FFFFFF" w:themeFill="background1"/>
        <w:spacing w:before="0" w:beforeAutospacing="0" w:after="0" w:afterAutospacing="0"/>
        <w:rPr>
          <w:rFonts w:asciiTheme="minorHAnsi" w:hAnsiTheme="minorHAnsi" w:cstheme="minorBidi"/>
          <w:color w:val="000000" w:themeColor="text1"/>
        </w:rPr>
      </w:pPr>
      <w:r w:rsidRPr="006F4DB6">
        <w:rPr>
          <w:rFonts w:asciiTheme="minorHAnsi" w:hAnsiTheme="minorHAnsi" w:cstheme="minorBidi"/>
          <w:color w:val="000000"/>
          <w:bdr w:val="none" w:sz="0" w:space="0" w:color="auto" w:frame="1"/>
        </w:rPr>
        <w:t>Finally, participants will consider opportunities to facilitate inclusion and belonging in the workplace and leave with greater confidence in their ability to create inclusive spaces where everyone is respected, valued, and appreciated.</w:t>
      </w:r>
      <w:bookmarkEnd w:id="0"/>
    </w:p>
    <w:p w14:paraId="48D18E67" w14:textId="77777777" w:rsidR="00533405" w:rsidRPr="006F4DB6" w:rsidRDefault="00533405" w:rsidP="00533405">
      <w:pPr>
        <w:spacing w:after="0" w:line="240" w:lineRule="auto"/>
        <w:jc w:val="both"/>
        <w:rPr>
          <w:sz w:val="24"/>
          <w:szCs w:val="24"/>
        </w:rPr>
      </w:pPr>
      <w:r w:rsidRPr="006F4DB6">
        <w:rPr>
          <w:rFonts w:eastAsiaTheme="minorEastAsia" w:cstheme="minorHAnsi"/>
          <w:b/>
          <w:bCs/>
          <w:color w:val="000000" w:themeColor="text1"/>
          <w:sz w:val="32"/>
          <w:szCs w:val="28"/>
        </w:rPr>
        <w:br w:type="column"/>
      </w:r>
      <w:bookmarkStart w:id="1" w:name="_Hlk7083697"/>
      <w:r w:rsidRPr="006F4DB6">
        <w:rPr>
          <w:rFonts w:eastAsia="Times New Roman" w:cs="Segoe UI"/>
          <w:b/>
          <w:bCs/>
          <w:sz w:val="28"/>
          <w:szCs w:val="24"/>
        </w:rPr>
        <w:lastRenderedPageBreak/>
        <w:t>SAGA (Sexuality and Gender Acceptance): An LGBTQ+ Workshop</w:t>
      </w:r>
    </w:p>
    <w:p w14:paraId="2A50E9C0" w14:textId="77777777" w:rsidR="00533405" w:rsidRPr="006F4DB6" w:rsidRDefault="00533405" w:rsidP="00533405">
      <w:pPr>
        <w:spacing w:after="0" w:line="240" w:lineRule="auto"/>
        <w:jc w:val="both"/>
        <w:rPr>
          <w:sz w:val="24"/>
          <w:szCs w:val="24"/>
        </w:rPr>
      </w:pPr>
    </w:p>
    <w:p w14:paraId="7D24268A" w14:textId="77777777" w:rsidR="00533405" w:rsidRPr="006F4DB6" w:rsidRDefault="00533405" w:rsidP="00533405">
      <w:pPr>
        <w:widowControl w:val="0"/>
        <w:rPr>
          <w:rFonts w:ascii="Calibri" w:hAnsi="Calibri"/>
          <w:sz w:val="24"/>
          <w:szCs w:val="24"/>
        </w:rPr>
      </w:pPr>
      <w:r w:rsidRPr="006F4DB6">
        <w:rPr>
          <w:sz w:val="24"/>
          <w:szCs w:val="24"/>
        </w:rPr>
        <w:t>In this</w:t>
      </w:r>
      <w:r w:rsidRPr="006F4DB6">
        <w:rPr>
          <w:rFonts w:ascii="Calibri" w:hAnsi="Calibri"/>
          <w:sz w:val="24"/>
          <w:szCs w:val="24"/>
        </w:rPr>
        <w:t xml:space="preserve"> LGBTQ+ (Lesbian, Gay, Bisexual, Transgender, and Queer) focused</w:t>
      </w:r>
      <w:r w:rsidRPr="006F4DB6">
        <w:rPr>
          <w:sz w:val="24"/>
          <w:szCs w:val="24"/>
        </w:rPr>
        <w:t xml:space="preserve"> workshop, participants will explore the social and cultural impacts of identifying as </w:t>
      </w:r>
      <w:r w:rsidRPr="006F4DB6">
        <w:rPr>
          <w:rFonts w:ascii="Calibri" w:hAnsi="Calibri"/>
          <w:sz w:val="24"/>
          <w:szCs w:val="24"/>
        </w:rPr>
        <w:t>LGBTQ+</w:t>
      </w:r>
      <w:r w:rsidRPr="006F4DB6">
        <w:rPr>
          <w:sz w:val="24"/>
          <w:szCs w:val="24"/>
        </w:rPr>
        <w:t xml:space="preserve"> in the U.S. today.</w:t>
      </w:r>
      <w:r w:rsidRPr="006F4DB6">
        <w:rPr>
          <w:rFonts w:ascii="Calibri" w:hAnsi="Calibri"/>
          <w:sz w:val="24"/>
          <w:szCs w:val="24"/>
        </w:rPr>
        <w:t xml:space="preserve">  Key concepts and competences for working with members of these communities will be explored.  Some key concepts explored include: gender pronouns, definitions of sexual orientations, explanations of preferred/updated language, and statistics regarding the implications of LGBTQ+ discrimination.  </w:t>
      </w:r>
    </w:p>
    <w:p w14:paraId="6EE77A62" w14:textId="77777777" w:rsidR="00533405" w:rsidRPr="006F4DB6" w:rsidRDefault="00533405" w:rsidP="00533405">
      <w:pPr>
        <w:widowControl w:val="0"/>
        <w:rPr>
          <w:rFonts w:ascii="Calibri" w:hAnsi="Calibri"/>
          <w:sz w:val="24"/>
          <w:szCs w:val="24"/>
        </w:rPr>
      </w:pPr>
      <w:r w:rsidRPr="006F4DB6">
        <w:rPr>
          <w:rFonts w:ascii="Calibri" w:hAnsi="Calibri"/>
          <w:sz w:val="24"/>
          <w:szCs w:val="24"/>
        </w:rPr>
        <w:t xml:space="preserve">Participants will be better prepared to address biased language and inequities toward the LGBTQ+ community. Attendees will also engage in an in-depth simulation that will increase their awareness of the challenges and barriers faced by members of the LGBTQ+ community, examine how intersecting identities impact the way people navigate a variety of environments, and investigate manifestations of privilege through interpersonal and systemic experiences.  They will leave with increased confidence in their ability to create a workplace that is respectful, inclusive and affirming for all. </w:t>
      </w:r>
    </w:p>
    <w:bookmarkEnd w:id="1"/>
    <w:p w14:paraId="59ABBA95" w14:textId="77777777" w:rsidR="00533405" w:rsidRPr="006F4DB6" w:rsidRDefault="00533405" w:rsidP="00533405">
      <w:pPr>
        <w:pStyle w:val="NoSpacing"/>
        <w:rPr>
          <w:rFonts w:eastAsia="Calibri" w:cstheme="minorHAnsi"/>
          <w:b/>
          <w:sz w:val="28"/>
          <w:szCs w:val="28"/>
        </w:rPr>
      </w:pPr>
      <w:r w:rsidRPr="006F4DB6">
        <w:rPr>
          <w:rFonts w:eastAsiaTheme="minorEastAsia" w:cstheme="minorHAnsi"/>
          <w:b/>
          <w:bCs/>
          <w:color w:val="000000" w:themeColor="text1"/>
          <w:sz w:val="32"/>
          <w:szCs w:val="28"/>
        </w:rPr>
        <w:br w:type="column"/>
      </w:r>
      <w:bookmarkStart w:id="2" w:name="_Hlk80349628"/>
      <w:r w:rsidRPr="006F4DB6">
        <w:rPr>
          <w:rFonts w:eastAsia="Calibri" w:cstheme="minorHAnsi"/>
          <w:b/>
          <w:sz w:val="28"/>
          <w:szCs w:val="28"/>
        </w:rPr>
        <w:lastRenderedPageBreak/>
        <w:t>Hourly Consulting Services</w:t>
      </w:r>
    </w:p>
    <w:p w14:paraId="2C21CDAE" w14:textId="77777777" w:rsidR="00533405" w:rsidRPr="006F4DB6" w:rsidRDefault="00533405" w:rsidP="00533405">
      <w:pPr>
        <w:pStyle w:val="NoSpacing"/>
        <w:rPr>
          <w:rFonts w:eastAsia="Calibri" w:cstheme="minorHAnsi"/>
          <w:b/>
          <w:sz w:val="28"/>
          <w:szCs w:val="28"/>
        </w:rPr>
      </w:pPr>
    </w:p>
    <w:p w14:paraId="27DC671A" w14:textId="77777777" w:rsidR="00533405" w:rsidRPr="006F4DB6" w:rsidRDefault="00533405" w:rsidP="00533405">
      <w:pPr>
        <w:spacing w:after="0" w:line="240" w:lineRule="auto"/>
        <w:rPr>
          <w:rFonts w:eastAsia="Calibri" w:cstheme="minorHAnsi"/>
          <w:sz w:val="24"/>
          <w:szCs w:val="28"/>
        </w:rPr>
      </w:pPr>
      <w:r w:rsidRPr="006F4DB6">
        <w:rPr>
          <w:rFonts w:eastAsia="Calibri" w:cstheme="minorHAnsi"/>
          <w:sz w:val="24"/>
          <w:szCs w:val="28"/>
        </w:rPr>
        <w:t xml:space="preserve">As Diversity, Equity, and Inclusion specialists, we can be a resource for your organization to incorporate diversity and inclusion into your strategic plan.  A member of our team can attend meetings, advise on policies, review documents, and provide a dedicated diversity and inclusion lens for your strategic planning process.  We can also conduct 1-1 meetings to better understand the current diversity and inclusion climate and explore areas of growth and work with members of your team to co-create diversity and inclusion programs for your team. </w:t>
      </w:r>
    </w:p>
    <w:bookmarkEnd w:id="2"/>
    <w:p w14:paraId="071F6972" w14:textId="0B668E83" w:rsidR="00BE0A44" w:rsidRPr="006F4DB6" w:rsidRDefault="00533405" w:rsidP="00533405">
      <w:pPr>
        <w:jc w:val="center"/>
        <w:rPr>
          <w:rFonts w:eastAsiaTheme="minorEastAsia" w:cstheme="minorHAnsi"/>
          <w:b/>
          <w:bCs/>
          <w:color w:val="000000" w:themeColor="text1"/>
          <w:sz w:val="32"/>
          <w:szCs w:val="28"/>
        </w:rPr>
      </w:pPr>
      <w:r w:rsidRPr="006F4DB6">
        <w:rPr>
          <w:rFonts w:eastAsiaTheme="minorEastAsia" w:cstheme="minorHAnsi"/>
          <w:b/>
          <w:bCs/>
          <w:color w:val="000000" w:themeColor="text1"/>
          <w:sz w:val="32"/>
          <w:szCs w:val="28"/>
        </w:rPr>
        <w:br w:type="column"/>
      </w:r>
      <w:r w:rsidR="00BE0A44" w:rsidRPr="006F4DB6">
        <w:rPr>
          <w:rFonts w:eastAsiaTheme="minorEastAsia" w:cstheme="minorHAnsi"/>
          <w:b/>
          <w:bCs/>
          <w:color w:val="000000" w:themeColor="text1"/>
          <w:sz w:val="32"/>
          <w:szCs w:val="28"/>
        </w:rPr>
        <w:lastRenderedPageBreak/>
        <w:t>Workshop Responsibilities</w:t>
      </w:r>
    </w:p>
    <w:p w14:paraId="5B1CED24" w14:textId="20CF1785" w:rsidR="00BE0A44" w:rsidRPr="006F4DB6" w:rsidRDefault="00533405" w:rsidP="00BE0A44">
      <w:pPr>
        <w:spacing w:after="0" w:line="240" w:lineRule="auto"/>
        <w:rPr>
          <w:rFonts w:eastAsia="Times New Roman" w:cstheme="minorHAnsi"/>
          <w:i/>
          <w:color w:val="000000" w:themeColor="text1"/>
          <w:sz w:val="28"/>
          <w:szCs w:val="28"/>
        </w:rPr>
      </w:pPr>
      <w:r w:rsidRPr="006F4DB6">
        <w:rPr>
          <w:rFonts w:eastAsiaTheme="minorEastAsia" w:cstheme="minorHAnsi"/>
          <w:b/>
          <w:bCs/>
          <w:color w:val="000000" w:themeColor="text1"/>
          <w:sz w:val="28"/>
          <w:szCs w:val="28"/>
        </w:rPr>
        <w:t>Galion City Health Department</w:t>
      </w:r>
      <w:r w:rsidR="00BE0A44" w:rsidRPr="006F4DB6">
        <w:rPr>
          <w:rFonts w:eastAsiaTheme="minorEastAsia" w:cstheme="minorHAnsi"/>
          <w:b/>
          <w:bCs/>
          <w:color w:val="000000" w:themeColor="text1"/>
          <w:sz w:val="28"/>
          <w:szCs w:val="28"/>
        </w:rPr>
        <w:t xml:space="preserve">: Responsibilities </w:t>
      </w:r>
      <w:r w:rsidR="00BE0A44" w:rsidRPr="006F4DB6">
        <w:rPr>
          <w:rFonts w:eastAsia="Times New Roman" w:cstheme="minorHAnsi"/>
          <w:i/>
          <w:color w:val="000000" w:themeColor="text1"/>
          <w:sz w:val="28"/>
          <w:szCs w:val="28"/>
        </w:rPr>
        <w:tab/>
      </w:r>
    </w:p>
    <w:p w14:paraId="7FC256CA" w14:textId="77777777" w:rsidR="00BE0A44" w:rsidRPr="006F4DB6" w:rsidRDefault="00BE0A44" w:rsidP="00BE0A44">
      <w:pPr>
        <w:spacing w:after="0" w:line="240" w:lineRule="auto"/>
        <w:rPr>
          <w:rFonts w:eastAsiaTheme="minorEastAsia" w:cstheme="minorHAnsi"/>
          <w:i/>
          <w:iCs/>
          <w:color w:val="000000" w:themeColor="text1"/>
          <w:sz w:val="28"/>
          <w:szCs w:val="28"/>
        </w:rPr>
      </w:pPr>
      <w:r w:rsidRPr="006F4DB6">
        <w:rPr>
          <w:rFonts w:eastAsia="Times New Roman" w:cstheme="minorHAnsi"/>
          <w:i/>
          <w:color w:val="000000" w:themeColor="text1"/>
          <w:sz w:val="28"/>
          <w:szCs w:val="28"/>
        </w:rPr>
        <w:tab/>
      </w:r>
    </w:p>
    <w:p w14:paraId="5D8885FB" w14:textId="77777777" w:rsidR="00BE0A44" w:rsidRPr="006F4DB6" w:rsidRDefault="00BE0A44" w:rsidP="00BE0A44">
      <w:pPr>
        <w:pStyle w:val="ListParagraph"/>
        <w:numPr>
          <w:ilvl w:val="0"/>
          <w:numId w:val="1"/>
        </w:numPr>
        <w:spacing w:after="0" w:line="240" w:lineRule="auto"/>
        <w:ind w:left="720"/>
        <w:rPr>
          <w:rFonts w:eastAsia="Times New Roman" w:cstheme="minorHAnsi"/>
          <w:color w:val="000000" w:themeColor="text1"/>
          <w:sz w:val="24"/>
          <w:szCs w:val="24"/>
        </w:rPr>
      </w:pPr>
      <w:r w:rsidRPr="006F4DB6">
        <w:rPr>
          <w:rFonts w:eastAsiaTheme="minorEastAsia" w:cstheme="minorHAnsi"/>
          <w:color w:val="000000" w:themeColor="text1"/>
          <w:sz w:val="24"/>
          <w:szCs w:val="24"/>
        </w:rPr>
        <w:t>Assignment/ sign-up for participants to each session</w:t>
      </w:r>
    </w:p>
    <w:p w14:paraId="5988DF19" w14:textId="77777777" w:rsidR="00BE0A44" w:rsidRPr="006F4DB6" w:rsidRDefault="00BE0A44" w:rsidP="00BE0A44">
      <w:pPr>
        <w:pStyle w:val="ListParagraph"/>
        <w:numPr>
          <w:ilvl w:val="0"/>
          <w:numId w:val="1"/>
        </w:numPr>
        <w:spacing w:after="0" w:line="240" w:lineRule="auto"/>
        <w:ind w:left="720"/>
        <w:rPr>
          <w:rFonts w:eastAsia="Times New Roman" w:cstheme="minorHAnsi"/>
          <w:color w:val="000000" w:themeColor="text1"/>
          <w:sz w:val="24"/>
          <w:szCs w:val="24"/>
        </w:rPr>
      </w:pPr>
      <w:r w:rsidRPr="006F4DB6">
        <w:rPr>
          <w:rFonts w:eastAsiaTheme="minorEastAsia" w:cstheme="minorHAnsi"/>
          <w:color w:val="000000" w:themeColor="text1"/>
          <w:sz w:val="24"/>
          <w:szCs w:val="24"/>
        </w:rPr>
        <w:t>A large room with moveable chairs</w:t>
      </w:r>
    </w:p>
    <w:p w14:paraId="72E3B804" w14:textId="77777777" w:rsidR="00BE0A44" w:rsidRPr="006F4DB6" w:rsidRDefault="00BE0A44" w:rsidP="00BE0A44">
      <w:pPr>
        <w:pStyle w:val="ListParagraph"/>
        <w:numPr>
          <w:ilvl w:val="0"/>
          <w:numId w:val="1"/>
        </w:numPr>
        <w:spacing w:after="0" w:line="240" w:lineRule="auto"/>
        <w:ind w:left="720"/>
        <w:rPr>
          <w:rFonts w:eastAsia="Times New Roman" w:cstheme="minorHAnsi"/>
          <w:color w:val="000000" w:themeColor="text1"/>
          <w:sz w:val="24"/>
          <w:szCs w:val="24"/>
        </w:rPr>
      </w:pPr>
      <w:r w:rsidRPr="006F4DB6">
        <w:rPr>
          <w:rFonts w:eastAsiaTheme="minorEastAsia" w:cstheme="minorHAnsi"/>
          <w:color w:val="000000" w:themeColor="text1"/>
          <w:sz w:val="24"/>
          <w:szCs w:val="24"/>
        </w:rPr>
        <w:t>AV equipment for each session</w:t>
      </w:r>
    </w:p>
    <w:p w14:paraId="25176DE9" w14:textId="77777777" w:rsidR="00BE0A44" w:rsidRPr="006F4DB6" w:rsidRDefault="00BE0A44" w:rsidP="00BE0A44">
      <w:pPr>
        <w:pStyle w:val="ListParagraph"/>
        <w:numPr>
          <w:ilvl w:val="0"/>
          <w:numId w:val="1"/>
        </w:numPr>
        <w:spacing w:after="0" w:line="240" w:lineRule="auto"/>
        <w:ind w:left="720"/>
        <w:rPr>
          <w:rFonts w:eastAsia="Times New Roman" w:cstheme="minorHAnsi"/>
          <w:color w:val="000000" w:themeColor="text1"/>
          <w:sz w:val="24"/>
          <w:szCs w:val="24"/>
        </w:rPr>
      </w:pPr>
      <w:r w:rsidRPr="006F4DB6">
        <w:rPr>
          <w:rFonts w:eastAsiaTheme="minorEastAsia" w:cstheme="minorHAnsi"/>
          <w:color w:val="000000" w:themeColor="text1"/>
          <w:sz w:val="24"/>
          <w:szCs w:val="24"/>
        </w:rPr>
        <w:t>Any refreshments or food desired</w:t>
      </w:r>
    </w:p>
    <w:p w14:paraId="0EE0523F" w14:textId="4422D9AC" w:rsidR="00BE0A44" w:rsidRPr="006F4DB6" w:rsidRDefault="00BE0A44" w:rsidP="00BE0A44">
      <w:pPr>
        <w:pStyle w:val="ListParagraph"/>
        <w:numPr>
          <w:ilvl w:val="0"/>
          <w:numId w:val="1"/>
        </w:numPr>
        <w:spacing w:after="0" w:line="240" w:lineRule="auto"/>
        <w:ind w:left="720"/>
        <w:rPr>
          <w:rFonts w:eastAsia="Times New Roman" w:cstheme="minorHAnsi"/>
          <w:color w:val="000000" w:themeColor="text1"/>
          <w:sz w:val="24"/>
          <w:szCs w:val="24"/>
        </w:rPr>
      </w:pPr>
      <w:r w:rsidRPr="006F4DB6">
        <w:rPr>
          <w:rFonts w:eastAsiaTheme="minorEastAsia" w:cstheme="minorHAnsi"/>
          <w:color w:val="000000" w:themeColor="text1"/>
          <w:sz w:val="24"/>
          <w:szCs w:val="24"/>
        </w:rPr>
        <w:t xml:space="preserve">Ensure that any assessments are completed no later than 3 weeks prior to the program date </w:t>
      </w:r>
    </w:p>
    <w:p w14:paraId="08056811" w14:textId="38608159" w:rsidR="009D0F68" w:rsidRPr="006F4DB6" w:rsidRDefault="009D0F68" w:rsidP="009D0F68">
      <w:pPr>
        <w:pStyle w:val="ListParagraph"/>
        <w:numPr>
          <w:ilvl w:val="0"/>
          <w:numId w:val="1"/>
        </w:numPr>
        <w:spacing w:after="0" w:line="240" w:lineRule="auto"/>
        <w:ind w:left="720"/>
        <w:rPr>
          <w:rFonts w:eastAsia="Times New Roman" w:cs="Times New Roman"/>
          <w:color w:val="000000" w:themeColor="text1"/>
          <w:sz w:val="24"/>
          <w:szCs w:val="24"/>
        </w:rPr>
      </w:pPr>
      <w:r w:rsidRPr="006F4DB6">
        <w:rPr>
          <w:rFonts w:eastAsia="Times New Roman" w:cs="Times New Roman"/>
          <w:color w:val="000000" w:themeColor="text1"/>
          <w:sz w:val="24"/>
          <w:szCs w:val="24"/>
        </w:rPr>
        <w:t>Participants who arrive more than 30 minutes after the start of the program may not be permitted to participate</w:t>
      </w:r>
    </w:p>
    <w:p w14:paraId="5A71C264" w14:textId="33DB8E9F" w:rsidR="009963F8" w:rsidRPr="006F4DB6" w:rsidRDefault="009963F8" w:rsidP="006102D5">
      <w:pPr>
        <w:pStyle w:val="ListParagraph"/>
        <w:numPr>
          <w:ilvl w:val="0"/>
          <w:numId w:val="1"/>
        </w:numPr>
        <w:spacing w:after="0" w:line="240" w:lineRule="auto"/>
        <w:ind w:left="720"/>
        <w:rPr>
          <w:rFonts w:eastAsia="Times New Roman" w:cs="Times New Roman"/>
          <w:color w:val="000000" w:themeColor="text1"/>
          <w:sz w:val="24"/>
          <w:szCs w:val="24"/>
        </w:rPr>
      </w:pPr>
      <w:r w:rsidRPr="006F4DB6">
        <w:rPr>
          <w:rFonts w:eastAsia="Times New Roman" w:cs="Times New Roman"/>
          <w:color w:val="000000" w:themeColor="text1"/>
          <w:sz w:val="24"/>
          <w:szCs w:val="24"/>
        </w:rPr>
        <w:t>For virtual programs, forward Zoom link and any pre-work to participants</w:t>
      </w:r>
    </w:p>
    <w:p w14:paraId="08FB4328" w14:textId="185549A1" w:rsidR="000640B2" w:rsidRPr="006F4DB6" w:rsidRDefault="000640B2" w:rsidP="006102D5">
      <w:pPr>
        <w:pStyle w:val="ListParagraph"/>
        <w:numPr>
          <w:ilvl w:val="0"/>
          <w:numId w:val="1"/>
        </w:numPr>
        <w:spacing w:after="0" w:line="240" w:lineRule="auto"/>
        <w:ind w:left="720"/>
        <w:rPr>
          <w:rFonts w:eastAsia="Times New Roman" w:cs="Times New Roman"/>
          <w:color w:val="000000" w:themeColor="text1"/>
          <w:sz w:val="24"/>
          <w:szCs w:val="24"/>
        </w:rPr>
      </w:pPr>
      <w:r w:rsidRPr="006F4DB6">
        <w:rPr>
          <w:rFonts w:eastAsia="Times New Roman" w:cs="Times New Roman"/>
          <w:color w:val="000000" w:themeColor="text1"/>
          <w:sz w:val="24"/>
          <w:szCs w:val="24"/>
        </w:rPr>
        <w:t>For virtual programs, assure that all participants have access to the necessary technology to fully participate in the program.  This includes their own computer or tablet with an embedded speaker and microphone, or an external speaker and microphone that connects to the computer and tablet. The computer or tablet must have access to Zoom</w:t>
      </w:r>
    </w:p>
    <w:p w14:paraId="012D0E57" w14:textId="189BC3C4" w:rsidR="00FC314F" w:rsidRPr="006F4DB6" w:rsidRDefault="00FC314F" w:rsidP="006102D5">
      <w:pPr>
        <w:pStyle w:val="ListParagraph"/>
        <w:numPr>
          <w:ilvl w:val="0"/>
          <w:numId w:val="1"/>
        </w:numPr>
        <w:spacing w:after="0" w:line="240" w:lineRule="auto"/>
        <w:ind w:left="720"/>
        <w:rPr>
          <w:rFonts w:eastAsia="Times New Roman" w:cs="Times New Roman"/>
          <w:color w:val="000000" w:themeColor="text1"/>
          <w:sz w:val="24"/>
          <w:szCs w:val="24"/>
        </w:rPr>
      </w:pPr>
      <w:r w:rsidRPr="006F4DB6">
        <w:rPr>
          <w:rFonts w:eastAsia="Times New Roman" w:cs="Times New Roman"/>
          <w:color w:val="000000" w:themeColor="text1"/>
          <w:sz w:val="24"/>
          <w:szCs w:val="24"/>
        </w:rPr>
        <w:t>For in-person programs, print out participant handouts (handouts will be sent over approximately 1 week prior to the program)</w:t>
      </w:r>
    </w:p>
    <w:p w14:paraId="799D1CCE" w14:textId="5ECE06F0" w:rsidR="00433FBB" w:rsidRPr="006F4DB6" w:rsidRDefault="00433FBB" w:rsidP="006102D5">
      <w:pPr>
        <w:pStyle w:val="ListParagraph"/>
        <w:numPr>
          <w:ilvl w:val="0"/>
          <w:numId w:val="1"/>
        </w:numPr>
        <w:spacing w:after="0" w:line="240" w:lineRule="auto"/>
        <w:ind w:left="720"/>
        <w:rPr>
          <w:rFonts w:eastAsia="Times New Roman" w:cs="Times New Roman"/>
          <w:color w:val="000000" w:themeColor="text1"/>
          <w:sz w:val="24"/>
          <w:szCs w:val="24"/>
        </w:rPr>
      </w:pPr>
      <w:r w:rsidRPr="006F4DB6">
        <w:rPr>
          <w:rFonts w:eastAsia="Times New Roman" w:cs="Times New Roman"/>
          <w:color w:val="000000" w:themeColor="text1"/>
          <w:sz w:val="24"/>
          <w:szCs w:val="24"/>
        </w:rPr>
        <w:t xml:space="preserve">There is a maximum of 50 participants </w:t>
      </w:r>
      <w:r w:rsidR="00C81D94" w:rsidRPr="006F4DB6">
        <w:rPr>
          <w:rFonts w:eastAsia="Times New Roman" w:cs="Times New Roman"/>
          <w:color w:val="000000" w:themeColor="text1"/>
          <w:sz w:val="24"/>
          <w:szCs w:val="24"/>
        </w:rPr>
        <w:t>per session</w:t>
      </w:r>
    </w:p>
    <w:p w14:paraId="374473A2" w14:textId="77777777" w:rsidR="00BE0A44" w:rsidRPr="006F4DB6" w:rsidRDefault="00BE0A44" w:rsidP="00BE0A44">
      <w:pPr>
        <w:spacing w:after="0" w:line="240" w:lineRule="auto"/>
        <w:rPr>
          <w:rFonts w:eastAsiaTheme="minorEastAsia" w:cstheme="minorHAnsi"/>
          <w:b/>
          <w:bCs/>
          <w:color w:val="000000" w:themeColor="text1"/>
          <w:sz w:val="24"/>
          <w:szCs w:val="24"/>
        </w:rPr>
      </w:pPr>
    </w:p>
    <w:p w14:paraId="5814F09B" w14:textId="77777777" w:rsidR="00BE0A44" w:rsidRPr="006F4DB6" w:rsidRDefault="00BE0A44" w:rsidP="00BE0A44">
      <w:pPr>
        <w:spacing w:after="0" w:line="240" w:lineRule="auto"/>
        <w:rPr>
          <w:rFonts w:eastAsiaTheme="minorEastAsia" w:cstheme="minorHAnsi"/>
          <w:b/>
          <w:bCs/>
          <w:color w:val="000000" w:themeColor="text1"/>
          <w:sz w:val="28"/>
          <w:szCs w:val="28"/>
        </w:rPr>
      </w:pPr>
      <w:r w:rsidRPr="006F4DB6">
        <w:rPr>
          <w:rFonts w:eastAsiaTheme="minorEastAsia" w:cstheme="minorHAnsi"/>
          <w:b/>
          <w:bCs/>
          <w:color w:val="000000" w:themeColor="text1"/>
          <w:sz w:val="28"/>
          <w:szCs w:val="28"/>
        </w:rPr>
        <w:t xml:space="preserve">The Diversity Center of Northeast Ohio: Responsibilities </w:t>
      </w:r>
    </w:p>
    <w:p w14:paraId="365F5395" w14:textId="77777777" w:rsidR="00BE0A44" w:rsidRPr="006F4DB6" w:rsidRDefault="00BE0A44" w:rsidP="00BE0A44">
      <w:pPr>
        <w:spacing w:after="0" w:line="240" w:lineRule="auto"/>
        <w:rPr>
          <w:rFonts w:eastAsiaTheme="minorEastAsia" w:cstheme="minorHAnsi"/>
          <w:i/>
          <w:iCs/>
          <w:color w:val="000000" w:themeColor="text1"/>
          <w:sz w:val="28"/>
          <w:szCs w:val="28"/>
        </w:rPr>
      </w:pPr>
      <w:r w:rsidRPr="006F4DB6">
        <w:rPr>
          <w:rFonts w:eastAsia="Times New Roman" w:cstheme="minorHAnsi"/>
          <w:i/>
          <w:color w:val="000000" w:themeColor="text1"/>
          <w:sz w:val="28"/>
          <w:szCs w:val="28"/>
        </w:rPr>
        <w:tab/>
      </w:r>
      <w:r w:rsidRPr="006F4DB6">
        <w:rPr>
          <w:rFonts w:eastAsia="Times New Roman" w:cstheme="minorHAnsi"/>
          <w:i/>
          <w:color w:val="000000" w:themeColor="text1"/>
          <w:sz w:val="28"/>
          <w:szCs w:val="28"/>
        </w:rPr>
        <w:tab/>
      </w:r>
    </w:p>
    <w:p w14:paraId="02165CD7" w14:textId="77777777" w:rsidR="00BE0A44" w:rsidRPr="006F4DB6" w:rsidRDefault="00BE0A44" w:rsidP="00BE0A44">
      <w:pPr>
        <w:pStyle w:val="ListParagraph"/>
        <w:numPr>
          <w:ilvl w:val="0"/>
          <w:numId w:val="1"/>
        </w:numPr>
        <w:spacing w:after="0" w:line="240" w:lineRule="auto"/>
        <w:ind w:left="720"/>
        <w:rPr>
          <w:rFonts w:eastAsia="Times New Roman" w:cstheme="minorHAnsi"/>
          <w:color w:val="000000" w:themeColor="text1"/>
          <w:sz w:val="24"/>
          <w:szCs w:val="24"/>
        </w:rPr>
      </w:pPr>
      <w:r w:rsidRPr="006F4DB6">
        <w:rPr>
          <w:rFonts w:eastAsiaTheme="minorEastAsia" w:cstheme="minorHAnsi"/>
          <w:color w:val="000000" w:themeColor="text1"/>
          <w:sz w:val="24"/>
          <w:szCs w:val="24"/>
        </w:rPr>
        <w:t>The design for each session</w:t>
      </w:r>
    </w:p>
    <w:p w14:paraId="2EF45230" w14:textId="77777777" w:rsidR="00BE0A44" w:rsidRPr="006F4DB6" w:rsidRDefault="00BE0A44" w:rsidP="00BE0A44">
      <w:pPr>
        <w:pStyle w:val="ListParagraph"/>
        <w:numPr>
          <w:ilvl w:val="0"/>
          <w:numId w:val="1"/>
        </w:numPr>
        <w:spacing w:after="0" w:line="240" w:lineRule="auto"/>
        <w:ind w:left="720"/>
        <w:rPr>
          <w:rFonts w:eastAsia="Times New Roman" w:cstheme="minorHAnsi"/>
          <w:color w:val="000000" w:themeColor="text1"/>
          <w:sz w:val="24"/>
          <w:szCs w:val="24"/>
        </w:rPr>
      </w:pPr>
      <w:r w:rsidRPr="006F4DB6">
        <w:rPr>
          <w:rFonts w:eastAsiaTheme="minorEastAsia" w:cstheme="minorHAnsi"/>
          <w:color w:val="000000" w:themeColor="text1"/>
          <w:sz w:val="24"/>
          <w:szCs w:val="24"/>
        </w:rPr>
        <w:t>Program delivery</w:t>
      </w:r>
    </w:p>
    <w:p w14:paraId="6E01CA1D" w14:textId="77777777" w:rsidR="00BE0A44" w:rsidRPr="006F4DB6" w:rsidRDefault="00BE0A44" w:rsidP="00BE0A44">
      <w:pPr>
        <w:pStyle w:val="ListParagraph"/>
        <w:numPr>
          <w:ilvl w:val="0"/>
          <w:numId w:val="1"/>
        </w:numPr>
        <w:spacing w:after="0" w:line="240" w:lineRule="auto"/>
        <w:ind w:left="720"/>
        <w:rPr>
          <w:rFonts w:eastAsia="Times New Roman" w:cstheme="minorHAnsi"/>
          <w:color w:val="000000" w:themeColor="text1"/>
          <w:sz w:val="24"/>
          <w:szCs w:val="24"/>
        </w:rPr>
      </w:pPr>
      <w:r w:rsidRPr="006F4DB6">
        <w:rPr>
          <w:rFonts w:eastAsiaTheme="minorEastAsia" w:cstheme="minorHAnsi"/>
          <w:color w:val="000000" w:themeColor="text1"/>
          <w:sz w:val="24"/>
          <w:szCs w:val="24"/>
        </w:rPr>
        <w:t>Materials and supplies</w:t>
      </w:r>
    </w:p>
    <w:p w14:paraId="55B3A0BD" w14:textId="77777777" w:rsidR="00BE0A44" w:rsidRPr="006F4DB6" w:rsidRDefault="00BE0A44" w:rsidP="00BE0A44">
      <w:pPr>
        <w:pStyle w:val="ListParagraph"/>
        <w:numPr>
          <w:ilvl w:val="0"/>
          <w:numId w:val="1"/>
        </w:numPr>
        <w:spacing w:after="0" w:line="240" w:lineRule="auto"/>
        <w:ind w:left="720"/>
        <w:rPr>
          <w:rFonts w:eastAsia="Times New Roman" w:cstheme="minorHAnsi"/>
          <w:color w:val="000000" w:themeColor="text1"/>
          <w:sz w:val="24"/>
          <w:szCs w:val="24"/>
        </w:rPr>
      </w:pPr>
      <w:r w:rsidRPr="006F4DB6">
        <w:rPr>
          <w:rFonts w:eastAsiaTheme="minorEastAsia" w:cstheme="minorHAnsi"/>
          <w:color w:val="000000" w:themeColor="text1"/>
          <w:sz w:val="24"/>
          <w:szCs w:val="24"/>
        </w:rPr>
        <w:t>Evaluation at the end of the workshop</w:t>
      </w:r>
    </w:p>
    <w:p w14:paraId="0F1091DB" w14:textId="77777777" w:rsidR="00CB002C" w:rsidRPr="006F4DB6" w:rsidRDefault="009963F8" w:rsidP="00CB002C">
      <w:pPr>
        <w:pStyle w:val="ListParagraph"/>
        <w:numPr>
          <w:ilvl w:val="0"/>
          <w:numId w:val="1"/>
        </w:numPr>
        <w:spacing w:after="0" w:line="240" w:lineRule="auto"/>
        <w:ind w:left="720"/>
        <w:rPr>
          <w:rFonts w:eastAsia="Times New Roman" w:cstheme="minorHAnsi"/>
          <w:color w:val="000000" w:themeColor="text1"/>
          <w:sz w:val="24"/>
          <w:szCs w:val="24"/>
        </w:rPr>
      </w:pPr>
      <w:r w:rsidRPr="006F4DB6">
        <w:rPr>
          <w:rFonts w:eastAsia="Times New Roman" w:cstheme="minorHAnsi"/>
          <w:color w:val="000000" w:themeColor="text1"/>
          <w:sz w:val="24"/>
          <w:szCs w:val="24"/>
        </w:rPr>
        <w:t>For virtual programs, send out Zoom link and any pre-work at least 1 week prior to the program</w:t>
      </w:r>
    </w:p>
    <w:p w14:paraId="345EE984" w14:textId="01FE3B79" w:rsidR="00CB002C" w:rsidRPr="006F4DB6" w:rsidRDefault="00CB002C" w:rsidP="00CB002C">
      <w:pPr>
        <w:pStyle w:val="ListParagraph"/>
        <w:numPr>
          <w:ilvl w:val="0"/>
          <w:numId w:val="1"/>
        </w:numPr>
        <w:spacing w:after="0" w:line="240" w:lineRule="auto"/>
        <w:ind w:left="720"/>
        <w:rPr>
          <w:rFonts w:eastAsia="Times New Roman" w:cstheme="minorHAnsi"/>
          <w:color w:val="000000" w:themeColor="text1"/>
          <w:sz w:val="24"/>
          <w:szCs w:val="24"/>
        </w:rPr>
      </w:pPr>
      <w:r w:rsidRPr="006F4DB6">
        <w:rPr>
          <w:rFonts w:eastAsiaTheme="minorEastAsia" w:cstheme="minorHAnsi"/>
          <w:color w:val="000000" w:themeColor="text1"/>
          <w:sz w:val="24"/>
          <w:szCs w:val="24"/>
        </w:rPr>
        <w:t>Follow the most up to date COVID-19 Guidance for Businesses found on the CDC's website at: https://www.cdc.gov/coronavirus/2019-ncov/community/guidance-business-response.html</w:t>
      </w:r>
    </w:p>
    <w:p w14:paraId="5D44ECFF" w14:textId="0DE7D2A9" w:rsidR="00533405" w:rsidRPr="006F4DB6" w:rsidRDefault="00CB002C" w:rsidP="00533405">
      <w:pPr>
        <w:pStyle w:val="Heading2"/>
        <w:rPr>
          <w:b/>
          <w:sz w:val="28"/>
        </w:rPr>
      </w:pPr>
      <w:r w:rsidRPr="006F4DB6">
        <w:rPr>
          <w:rFonts w:asciiTheme="minorHAnsi" w:eastAsiaTheme="minorEastAsia" w:hAnsiTheme="minorHAnsi" w:cstheme="minorHAnsi"/>
          <w:color w:val="000000" w:themeColor="text1"/>
          <w:sz w:val="24"/>
          <w:szCs w:val="24"/>
        </w:rPr>
        <w:t>Please note: all Diversity Center programming can be facilitated virtually.  Decisions regarding whether the programming is done in-person or virtually will be made 30 days in advance of the date of the workshop, and based on Guidance from the CDC.</w:t>
      </w:r>
      <w:r w:rsidR="00BE0A44" w:rsidRPr="006F4DB6">
        <w:rPr>
          <w:rFonts w:eastAsiaTheme="minorEastAsia" w:cstheme="minorHAnsi"/>
          <w:color w:val="000000" w:themeColor="text1"/>
          <w:sz w:val="24"/>
          <w:szCs w:val="24"/>
        </w:rPr>
        <w:br w:type="column"/>
      </w:r>
    </w:p>
    <w:p w14:paraId="244D8CD4" w14:textId="1886D238" w:rsidR="00B37086" w:rsidRPr="006F4DB6" w:rsidRDefault="00B37086" w:rsidP="00DA1757">
      <w:pPr>
        <w:spacing w:after="0" w:line="240" w:lineRule="auto"/>
        <w:rPr>
          <w:b/>
          <w:sz w:val="32"/>
        </w:rPr>
      </w:pPr>
      <w:r w:rsidRPr="006F4DB6">
        <w:rPr>
          <w:b/>
          <w:sz w:val="32"/>
        </w:rPr>
        <w:t xml:space="preserve"> Cost for Services</w:t>
      </w:r>
    </w:p>
    <w:p w14:paraId="15EC5EF4" w14:textId="77777777" w:rsidR="00A614E8" w:rsidRPr="006F4DB6" w:rsidRDefault="00A614E8" w:rsidP="00DA1757">
      <w:pPr>
        <w:spacing w:after="0" w:line="240" w:lineRule="auto"/>
        <w:rPr>
          <w:b/>
          <w:sz w:val="28"/>
        </w:rPr>
      </w:pPr>
    </w:p>
    <w:p w14:paraId="4E206A85" w14:textId="77777777" w:rsidR="00B37086" w:rsidRPr="006F4DB6" w:rsidRDefault="00B37086" w:rsidP="00B37086">
      <w:pPr>
        <w:spacing w:after="0" w:line="240" w:lineRule="auto"/>
      </w:pPr>
    </w:p>
    <w:tbl>
      <w:tblPr>
        <w:tblStyle w:val="TableGrid"/>
        <w:tblW w:w="0" w:type="auto"/>
        <w:tblInd w:w="0" w:type="dxa"/>
        <w:tblLook w:val="04A0" w:firstRow="1" w:lastRow="0" w:firstColumn="1" w:lastColumn="0" w:noHBand="0" w:noVBand="1"/>
      </w:tblPr>
      <w:tblGrid>
        <w:gridCol w:w="2335"/>
        <w:gridCol w:w="1530"/>
        <w:gridCol w:w="1440"/>
        <w:gridCol w:w="4045"/>
      </w:tblGrid>
      <w:tr w:rsidR="00B37086" w:rsidRPr="006F4DB6" w14:paraId="006B8C3A" w14:textId="77777777" w:rsidTr="00B9110E">
        <w:tc>
          <w:tcPr>
            <w:tcW w:w="2335" w:type="dxa"/>
            <w:tcBorders>
              <w:top w:val="single" w:sz="4" w:space="0" w:color="auto"/>
              <w:left w:val="single" w:sz="4" w:space="0" w:color="auto"/>
              <w:bottom w:val="single" w:sz="4" w:space="0" w:color="auto"/>
              <w:right w:val="single" w:sz="4" w:space="0" w:color="auto"/>
            </w:tcBorders>
            <w:hideMark/>
          </w:tcPr>
          <w:p w14:paraId="4CA3516C" w14:textId="77777777" w:rsidR="00B37086" w:rsidRPr="006F4DB6" w:rsidRDefault="00B37086">
            <w:pPr>
              <w:rPr>
                <w:b/>
              </w:rPr>
            </w:pPr>
            <w:r w:rsidRPr="006F4DB6">
              <w:rPr>
                <w:b/>
                <w:sz w:val="24"/>
              </w:rPr>
              <w:t>Service</w:t>
            </w:r>
          </w:p>
        </w:tc>
        <w:tc>
          <w:tcPr>
            <w:tcW w:w="1530" w:type="dxa"/>
            <w:tcBorders>
              <w:top w:val="single" w:sz="4" w:space="0" w:color="auto"/>
              <w:left w:val="single" w:sz="4" w:space="0" w:color="auto"/>
              <w:bottom w:val="single" w:sz="4" w:space="0" w:color="auto"/>
              <w:right w:val="single" w:sz="4" w:space="0" w:color="auto"/>
            </w:tcBorders>
            <w:hideMark/>
          </w:tcPr>
          <w:p w14:paraId="307785A9" w14:textId="77777777" w:rsidR="00B37086" w:rsidRPr="006F4DB6" w:rsidRDefault="00B37086">
            <w:pPr>
              <w:rPr>
                <w:b/>
              </w:rPr>
            </w:pPr>
            <w:r w:rsidRPr="006F4DB6">
              <w:rPr>
                <w:b/>
              </w:rPr>
              <w:t>Length</w:t>
            </w:r>
          </w:p>
        </w:tc>
        <w:tc>
          <w:tcPr>
            <w:tcW w:w="1440" w:type="dxa"/>
            <w:tcBorders>
              <w:top w:val="single" w:sz="4" w:space="0" w:color="auto"/>
              <w:left w:val="single" w:sz="4" w:space="0" w:color="auto"/>
              <w:bottom w:val="single" w:sz="4" w:space="0" w:color="auto"/>
              <w:right w:val="single" w:sz="4" w:space="0" w:color="auto"/>
            </w:tcBorders>
            <w:hideMark/>
          </w:tcPr>
          <w:p w14:paraId="744F6DAC" w14:textId="77777777" w:rsidR="00B37086" w:rsidRPr="006F4DB6" w:rsidRDefault="00B37086">
            <w:pPr>
              <w:rPr>
                <w:b/>
              </w:rPr>
            </w:pPr>
            <w:r w:rsidRPr="006F4DB6">
              <w:rPr>
                <w:b/>
              </w:rPr>
              <w:t>Total Cost</w:t>
            </w:r>
          </w:p>
        </w:tc>
        <w:tc>
          <w:tcPr>
            <w:tcW w:w="4045" w:type="dxa"/>
            <w:tcBorders>
              <w:top w:val="single" w:sz="4" w:space="0" w:color="auto"/>
              <w:left w:val="single" w:sz="4" w:space="0" w:color="auto"/>
              <w:bottom w:val="single" w:sz="4" w:space="0" w:color="auto"/>
              <w:right w:val="single" w:sz="4" w:space="0" w:color="auto"/>
            </w:tcBorders>
            <w:hideMark/>
          </w:tcPr>
          <w:p w14:paraId="262F520D" w14:textId="77777777" w:rsidR="00B37086" w:rsidRPr="006F4DB6" w:rsidRDefault="00B37086">
            <w:pPr>
              <w:rPr>
                <w:b/>
              </w:rPr>
            </w:pPr>
            <w:r w:rsidRPr="006F4DB6">
              <w:rPr>
                <w:b/>
              </w:rPr>
              <w:t>Additional Comments</w:t>
            </w:r>
          </w:p>
        </w:tc>
      </w:tr>
      <w:tr w:rsidR="00B37086" w:rsidRPr="006F4DB6" w14:paraId="0A5D50A7" w14:textId="77777777" w:rsidTr="00B9110E">
        <w:tc>
          <w:tcPr>
            <w:tcW w:w="2335" w:type="dxa"/>
            <w:tcBorders>
              <w:top w:val="single" w:sz="4" w:space="0" w:color="auto"/>
              <w:left w:val="single" w:sz="4" w:space="0" w:color="auto"/>
              <w:bottom w:val="single" w:sz="4" w:space="0" w:color="auto"/>
              <w:right w:val="single" w:sz="4" w:space="0" w:color="auto"/>
            </w:tcBorders>
          </w:tcPr>
          <w:p w14:paraId="38EF35D5" w14:textId="4F3E7F7F" w:rsidR="00B37086" w:rsidRPr="006F4DB6" w:rsidRDefault="00A614E8">
            <w:r w:rsidRPr="006F4DB6">
              <w:t>Standard Workshop</w:t>
            </w:r>
          </w:p>
        </w:tc>
        <w:tc>
          <w:tcPr>
            <w:tcW w:w="1530" w:type="dxa"/>
            <w:tcBorders>
              <w:top w:val="single" w:sz="4" w:space="0" w:color="auto"/>
              <w:left w:val="single" w:sz="4" w:space="0" w:color="auto"/>
              <w:bottom w:val="single" w:sz="4" w:space="0" w:color="auto"/>
              <w:right w:val="single" w:sz="4" w:space="0" w:color="auto"/>
            </w:tcBorders>
          </w:tcPr>
          <w:p w14:paraId="4BF0FF07" w14:textId="5AEA6AD2" w:rsidR="00B37086" w:rsidRPr="006F4DB6" w:rsidRDefault="00A614E8">
            <w:r w:rsidRPr="006F4DB6">
              <w:t>3-4 Hours</w:t>
            </w:r>
          </w:p>
        </w:tc>
        <w:tc>
          <w:tcPr>
            <w:tcW w:w="1440" w:type="dxa"/>
            <w:tcBorders>
              <w:top w:val="single" w:sz="4" w:space="0" w:color="auto"/>
              <w:left w:val="single" w:sz="4" w:space="0" w:color="auto"/>
              <w:bottom w:val="single" w:sz="4" w:space="0" w:color="auto"/>
              <w:right w:val="single" w:sz="4" w:space="0" w:color="auto"/>
            </w:tcBorders>
          </w:tcPr>
          <w:p w14:paraId="77747BE4" w14:textId="6632667A" w:rsidR="00B37086" w:rsidRPr="006F4DB6" w:rsidRDefault="00533405">
            <w:r w:rsidRPr="006F4DB6">
              <w:t xml:space="preserve">$3,200 (discounted from </w:t>
            </w:r>
            <w:r w:rsidR="00925EB4" w:rsidRPr="006F4DB6">
              <w:t>$4,000</w:t>
            </w:r>
            <w:r w:rsidRPr="006F4DB6">
              <w:t>)</w:t>
            </w:r>
          </w:p>
        </w:tc>
        <w:tc>
          <w:tcPr>
            <w:tcW w:w="4045" w:type="dxa"/>
            <w:tcBorders>
              <w:top w:val="single" w:sz="4" w:space="0" w:color="auto"/>
              <w:left w:val="single" w:sz="4" w:space="0" w:color="auto"/>
              <w:bottom w:val="single" w:sz="4" w:space="0" w:color="auto"/>
              <w:right w:val="single" w:sz="4" w:space="0" w:color="auto"/>
            </w:tcBorders>
          </w:tcPr>
          <w:p w14:paraId="4AC1DD8D" w14:textId="77777777" w:rsidR="00B37086" w:rsidRPr="006F4DB6" w:rsidRDefault="00B37086"/>
        </w:tc>
      </w:tr>
      <w:tr w:rsidR="00A614E8" w:rsidRPr="006F4DB6" w14:paraId="2C0ADC10" w14:textId="77777777" w:rsidTr="00B9110E">
        <w:trPr>
          <w:trHeight w:val="926"/>
        </w:trPr>
        <w:tc>
          <w:tcPr>
            <w:tcW w:w="2335" w:type="dxa"/>
            <w:tcBorders>
              <w:top w:val="single" w:sz="4" w:space="0" w:color="auto"/>
              <w:left w:val="single" w:sz="4" w:space="0" w:color="auto"/>
              <w:bottom w:val="single" w:sz="4" w:space="0" w:color="auto"/>
              <w:right w:val="single" w:sz="4" w:space="0" w:color="auto"/>
            </w:tcBorders>
          </w:tcPr>
          <w:p w14:paraId="3CF06002" w14:textId="53840E4D" w:rsidR="00A614E8" w:rsidRPr="006F4DB6" w:rsidRDefault="00533405">
            <w:r w:rsidRPr="006F4DB6">
              <w:t>Hourly Consulting Services</w:t>
            </w:r>
          </w:p>
        </w:tc>
        <w:tc>
          <w:tcPr>
            <w:tcW w:w="1530" w:type="dxa"/>
            <w:tcBorders>
              <w:top w:val="single" w:sz="4" w:space="0" w:color="auto"/>
              <w:left w:val="single" w:sz="4" w:space="0" w:color="auto"/>
              <w:bottom w:val="single" w:sz="4" w:space="0" w:color="auto"/>
              <w:right w:val="single" w:sz="4" w:space="0" w:color="auto"/>
            </w:tcBorders>
          </w:tcPr>
          <w:p w14:paraId="6CA00391" w14:textId="5183F485" w:rsidR="00A614E8" w:rsidRPr="006F4DB6" w:rsidRDefault="006C3639">
            <w:r w:rsidRPr="006F4DB6">
              <w:t>~</w:t>
            </w:r>
            <w:r w:rsidR="00533405" w:rsidRPr="006F4DB6">
              <w:t>10 Hours</w:t>
            </w:r>
          </w:p>
        </w:tc>
        <w:tc>
          <w:tcPr>
            <w:tcW w:w="1440" w:type="dxa"/>
            <w:tcBorders>
              <w:top w:val="single" w:sz="4" w:space="0" w:color="auto"/>
              <w:left w:val="single" w:sz="4" w:space="0" w:color="auto"/>
              <w:bottom w:val="single" w:sz="4" w:space="0" w:color="auto"/>
              <w:right w:val="single" w:sz="4" w:space="0" w:color="auto"/>
            </w:tcBorders>
          </w:tcPr>
          <w:p w14:paraId="51B5BF85" w14:textId="55A78D35" w:rsidR="00A614E8" w:rsidRPr="006F4DB6" w:rsidRDefault="006C3639">
            <w:r w:rsidRPr="006F4DB6">
              <w:t>$</w:t>
            </w:r>
            <w:r w:rsidR="000E3ED5" w:rsidRPr="006F4DB6">
              <w:t>470</w:t>
            </w:r>
            <w:r w:rsidRPr="006F4DB6">
              <w:t>/hour</w:t>
            </w:r>
          </w:p>
        </w:tc>
        <w:tc>
          <w:tcPr>
            <w:tcW w:w="4045" w:type="dxa"/>
            <w:tcBorders>
              <w:top w:val="single" w:sz="4" w:space="0" w:color="auto"/>
              <w:left w:val="single" w:sz="4" w:space="0" w:color="auto"/>
              <w:bottom w:val="single" w:sz="4" w:space="0" w:color="auto"/>
              <w:right w:val="single" w:sz="4" w:space="0" w:color="auto"/>
            </w:tcBorders>
          </w:tcPr>
          <w:p w14:paraId="4481363F" w14:textId="6FB4604D" w:rsidR="00A614E8" w:rsidRPr="006F4DB6" w:rsidRDefault="00A614E8">
            <w:pPr>
              <w:rPr>
                <w:i/>
              </w:rPr>
            </w:pPr>
            <w:r w:rsidRPr="006F4DB6">
              <w:rPr>
                <w:i/>
              </w:rPr>
              <w:t xml:space="preserve">Length and scope of project will be decided upon jointly by The Diversity Center and </w:t>
            </w:r>
            <w:r w:rsidR="00533405" w:rsidRPr="006F4DB6">
              <w:rPr>
                <w:i/>
              </w:rPr>
              <w:t>Galion City Health Department</w:t>
            </w:r>
          </w:p>
        </w:tc>
      </w:tr>
    </w:tbl>
    <w:p w14:paraId="55073F9D" w14:textId="01EA30D0" w:rsidR="00A614E8" w:rsidRPr="006F4DB6" w:rsidRDefault="00A614E8" w:rsidP="00A614E8">
      <w:pPr>
        <w:spacing w:after="0" w:line="240" w:lineRule="auto"/>
        <w:rPr>
          <w:b/>
          <w:sz w:val="28"/>
        </w:rPr>
      </w:pPr>
    </w:p>
    <w:p w14:paraId="105F4C02" w14:textId="2C09ABC1" w:rsidR="00533405" w:rsidRPr="006F4DB6" w:rsidRDefault="00533405" w:rsidP="00A614E8">
      <w:pPr>
        <w:spacing w:after="0" w:line="240" w:lineRule="auto"/>
        <w:rPr>
          <w:b/>
          <w:sz w:val="28"/>
        </w:rPr>
      </w:pPr>
      <w:r w:rsidRPr="006F4DB6">
        <w:rPr>
          <w:b/>
          <w:sz w:val="24"/>
        </w:rPr>
        <w:t>Total cost of this partnership will not exceed $10,000</w:t>
      </w:r>
    </w:p>
    <w:p w14:paraId="30F353FF" w14:textId="77777777" w:rsidR="00533405" w:rsidRPr="006F4DB6" w:rsidRDefault="00533405" w:rsidP="00A614E8">
      <w:pPr>
        <w:spacing w:after="0" w:line="240" w:lineRule="auto"/>
        <w:rPr>
          <w:b/>
          <w:sz w:val="28"/>
        </w:rPr>
      </w:pPr>
    </w:p>
    <w:p w14:paraId="50B1F892" w14:textId="0A0EC556" w:rsidR="00BE0A44" w:rsidRPr="006F4DB6" w:rsidRDefault="00533405" w:rsidP="00BE0A44">
      <w:pPr>
        <w:spacing w:line="240" w:lineRule="auto"/>
        <w:rPr>
          <w:rFonts w:eastAsia="Times New Roman" w:cstheme="minorHAnsi"/>
          <w:b/>
          <w:sz w:val="28"/>
          <w:szCs w:val="24"/>
        </w:rPr>
      </w:pPr>
      <w:r w:rsidRPr="006F4DB6">
        <w:rPr>
          <w:rFonts w:eastAsia="Times New Roman" w:cstheme="minorHAnsi"/>
          <w:b/>
          <w:sz w:val="28"/>
          <w:szCs w:val="24"/>
        </w:rPr>
        <w:br w:type="column"/>
      </w:r>
      <w:r w:rsidR="00BE0A44" w:rsidRPr="006F4DB6">
        <w:rPr>
          <w:rFonts w:eastAsia="Times New Roman" w:cstheme="minorHAnsi"/>
          <w:b/>
          <w:sz w:val="28"/>
          <w:szCs w:val="24"/>
        </w:rPr>
        <w:lastRenderedPageBreak/>
        <w:t>Why partner with us?</w:t>
      </w:r>
    </w:p>
    <w:p w14:paraId="5699DCFE" w14:textId="214EFC73" w:rsidR="00BE0A44" w:rsidRPr="006F4DB6" w:rsidRDefault="00BE0A44" w:rsidP="00BE0A44">
      <w:pPr>
        <w:spacing w:line="240" w:lineRule="auto"/>
        <w:rPr>
          <w:rFonts w:eastAsia="Times New Roman" w:cstheme="minorHAnsi"/>
          <w:sz w:val="24"/>
          <w:szCs w:val="24"/>
        </w:rPr>
      </w:pPr>
      <w:r w:rsidRPr="006F4DB6">
        <w:rPr>
          <w:rFonts w:eastAsia="Times New Roman" w:cstheme="minorHAnsi"/>
          <w:sz w:val="24"/>
          <w:szCs w:val="24"/>
        </w:rPr>
        <w:t xml:space="preserve">Diversity Center programs follow best practices for adult learners.  The program will be highly interactive, collaborative in nature, and focused on practical applications for </w:t>
      </w:r>
      <w:r w:rsidR="00533405" w:rsidRPr="006F4DB6">
        <w:rPr>
          <w:rFonts w:eastAsiaTheme="minorEastAsia" w:cstheme="minorHAnsi"/>
          <w:sz w:val="24"/>
          <w:szCs w:val="24"/>
        </w:rPr>
        <w:t>Galion City Health Department</w:t>
      </w:r>
      <w:r w:rsidRPr="006F4DB6">
        <w:rPr>
          <w:rFonts w:eastAsia="Times New Roman" w:cstheme="minorHAnsi"/>
          <w:sz w:val="24"/>
          <w:szCs w:val="24"/>
        </w:rPr>
        <w:t>.  The Diversity Center of Northeast Ohio staff will partner with your team to leverage the collective knowledge, experience and expertise of all participating members. Additionally, content will be delivered via a combination of lecture, activities, and multimedia formats.  Participants will have the opportunity to engage in exploratory and reflective discussions, group debrief sessions, and anonymous real-time polling.</w:t>
      </w:r>
    </w:p>
    <w:p w14:paraId="67BFE1F3" w14:textId="2A56AAED" w:rsidR="00BE0A44" w:rsidRPr="00935928" w:rsidRDefault="00BE0A44" w:rsidP="00BE0A44">
      <w:pPr>
        <w:spacing w:line="240" w:lineRule="auto"/>
        <w:rPr>
          <w:rFonts w:eastAsia="Times New Roman" w:cstheme="minorHAnsi"/>
          <w:sz w:val="24"/>
          <w:szCs w:val="24"/>
        </w:rPr>
      </w:pPr>
      <w:r w:rsidRPr="006F4DB6">
        <w:rPr>
          <w:rFonts w:eastAsia="Times New Roman" w:cstheme="minorHAnsi"/>
          <w:sz w:val="24"/>
          <w:szCs w:val="24"/>
        </w:rPr>
        <w:t>As part of a mission focused non-profit organization, we are committed to providing you with high impact, sustainable initiatives that are tailored to your unique needs and grounded in evidence</w:t>
      </w:r>
      <w:r w:rsidR="001F59B7" w:rsidRPr="006F4DB6">
        <w:rPr>
          <w:rFonts w:eastAsia="Times New Roman" w:cstheme="minorHAnsi"/>
          <w:sz w:val="24"/>
          <w:szCs w:val="24"/>
        </w:rPr>
        <w:t>-</w:t>
      </w:r>
      <w:r w:rsidRPr="006F4DB6">
        <w:rPr>
          <w:rFonts w:eastAsia="Times New Roman" w:cstheme="minorHAnsi"/>
          <w:sz w:val="24"/>
          <w:szCs w:val="24"/>
        </w:rPr>
        <w:t xml:space="preserve">based practices. We are dedicated to creating workplaces where everyone is connected, respected, and valued, and specialize specifically in culture, diversity, equity, and inclusion.  By partnering with us you also support the work that we do with all ages.  In addition to our professional services division, </w:t>
      </w:r>
      <w:r w:rsidRPr="006F4DB6">
        <w:rPr>
          <w:rFonts w:eastAsia="Times New Roman" w:cstheme="minorHAnsi"/>
          <w:i/>
          <w:sz w:val="24"/>
          <w:szCs w:val="24"/>
        </w:rPr>
        <w:t>SHIFT</w:t>
      </w:r>
      <w:r w:rsidRPr="006F4DB6">
        <w:rPr>
          <w:rFonts w:eastAsia="Times New Roman" w:cstheme="minorHAnsi"/>
          <w:sz w:val="24"/>
          <w:szCs w:val="24"/>
        </w:rPr>
        <w:t xml:space="preserve"> Consulting, and our premiere leadership program, </w:t>
      </w:r>
      <w:r w:rsidRPr="006F4DB6">
        <w:rPr>
          <w:rFonts w:eastAsia="Times New Roman" w:cstheme="minorHAnsi"/>
          <w:i/>
          <w:sz w:val="24"/>
          <w:szCs w:val="24"/>
        </w:rPr>
        <w:t>Lead</w:t>
      </w:r>
      <w:r w:rsidRPr="006F4DB6">
        <w:rPr>
          <w:rFonts w:eastAsia="Times New Roman" w:cstheme="minorHAnsi"/>
          <w:sz w:val="24"/>
          <w:szCs w:val="24"/>
        </w:rPr>
        <w:t xml:space="preserve"> DIVERSITY, our School &amp; Youth division provides year-round diversity centered workshops, conferences, and retreats for students. These programs empower thousands of youth and youth-serving professionals to build environments that promote respect, acceptance, and inclusion.</w:t>
      </w:r>
    </w:p>
    <w:p w14:paraId="474C13C6" w14:textId="77777777" w:rsidR="00BE0A44" w:rsidRPr="00935928" w:rsidRDefault="00BE0A44" w:rsidP="00BE0A44">
      <w:pPr>
        <w:rPr>
          <w:rFonts w:eastAsiaTheme="minorEastAsia" w:cstheme="minorHAnsi"/>
          <w:color w:val="000000" w:themeColor="text1"/>
          <w:sz w:val="24"/>
          <w:szCs w:val="24"/>
        </w:rPr>
      </w:pPr>
    </w:p>
    <w:p w14:paraId="4C9F6D5E" w14:textId="77777777" w:rsidR="00BE0A44" w:rsidRPr="00935928" w:rsidRDefault="00BE0A44" w:rsidP="00BE0A44">
      <w:pPr>
        <w:rPr>
          <w:rFonts w:eastAsiaTheme="minorEastAsia" w:cstheme="minorHAnsi"/>
          <w:color w:val="000000" w:themeColor="text1"/>
          <w:sz w:val="24"/>
          <w:szCs w:val="24"/>
        </w:rPr>
      </w:pPr>
    </w:p>
    <w:p w14:paraId="1EF90F54" w14:textId="77777777" w:rsidR="00332D0B" w:rsidRPr="00935928" w:rsidRDefault="00332D0B" w:rsidP="00332D0B">
      <w:pPr>
        <w:rPr>
          <w:rFonts w:eastAsiaTheme="minorEastAsia" w:cstheme="minorHAnsi"/>
          <w:color w:val="000000" w:themeColor="text1"/>
          <w:sz w:val="24"/>
          <w:szCs w:val="24"/>
        </w:rPr>
      </w:pPr>
    </w:p>
    <w:p w14:paraId="7A4E12EA" w14:textId="7F559C0A" w:rsidR="00D01CC7" w:rsidRPr="00935928" w:rsidRDefault="00D01CC7" w:rsidP="00332D0B">
      <w:pPr>
        <w:jc w:val="center"/>
        <w:rPr>
          <w:rFonts w:eastAsiaTheme="minorEastAsia" w:cstheme="minorHAnsi"/>
          <w:color w:val="000000" w:themeColor="text1"/>
          <w:sz w:val="24"/>
          <w:szCs w:val="24"/>
        </w:rPr>
      </w:pPr>
    </w:p>
    <w:sectPr w:rsidR="00D01CC7" w:rsidRPr="00935928" w:rsidSect="00B242F9">
      <w:headerReference w:type="default" r:id="rId12"/>
      <w:footerReference w:type="default" r:id="rId13"/>
      <w:pgSz w:w="12240" w:h="15840"/>
      <w:pgMar w:top="1008"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A6B40" w14:textId="77777777" w:rsidR="00B96A23" w:rsidRDefault="00B96A23" w:rsidP="00F5110B">
      <w:pPr>
        <w:spacing w:after="0" w:line="240" w:lineRule="auto"/>
      </w:pPr>
      <w:r>
        <w:separator/>
      </w:r>
    </w:p>
  </w:endnote>
  <w:endnote w:type="continuationSeparator" w:id="0">
    <w:p w14:paraId="3EA2F7E4" w14:textId="77777777" w:rsidR="00B96A23" w:rsidRDefault="00B96A23" w:rsidP="00F5110B">
      <w:pPr>
        <w:spacing w:after="0" w:line="240" w:lineRule="auto"/>
      </w:pPr>
      <w:r>
        <w:continuationSeparator/>
      </w:r>
    </w:p>
  </w:endnote>
  <w:endnote w:type="continuationNotice" w:id="1">
    <w:p w14:paraId="3D587256" w14:textId="77777777" w:rsidR="00B96A23" w:rsidRDefault="00B96A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0D64" w14:textId="68DA0BE5" w:rsidR="000B6589" w:rsidRPr="00963443" w:rsidRDefault="00963443">
    <w:pPr>
      <w:pStyle w:val="Footer"/>
      <w:rPr>
        <w:rFonts w:ascii="Avenir Next" w:eastAsia="Times New Roman" w:hAnsi="Avenir Next" w:cs="Calibri"/>
        <w:sz w:val="24"/>
        <w:szCs w:val="24"/>
      </w:rPr>
    </w:pPr>
    <w:r>
      <w:rPr>
        <w:rFonts w:ascii="Avenir Next" w:eastAsia="Times New Roman" w:hAnsi="Avenir Next" w:cs="Calibri"/>
        <w:sz w:val="24"/>
        <w:szCs w:val="24"/>
      </w:rPr>
      <w:t>Confidential and Proprietary Property of the Diversity Center of Northeast Ohio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4A9E4" w14:textId="77777777" w:rsidR="00B96A23" w:rsidRDefault="00B96A23" w:rsidP="00F5110B">
      <w:pPr>
        <w:spacing w:after="0" w:line="240" w:lineRule="auto"/>
      </w:pPr>
      <w:r>
        <w:separator/>
      </w:r>
    </w:p>
  </w:footnote>
  <w:footnote w:type="continuationSeparator" w:id="0">
    <w:p w14:paraId="60144A10" w14:textId="77777777" w:rsidR="00B96A23" w:rsidRDefault="00B96A23" w:rsidP="00F5110B">
      <w:pPr>
        <w:spacing w:after="0" w:line="240" w:lineRule="auto"/>
      </w:pPr>
      <w:r>
        <w:continuationSeparator/>
      </w:r>
    </w:p>
  </w:footnote>
  <w:footnote w:type="continuationNotice" w:id="1">
    <w:p w14:paraId="539135BA" w14:textId="77777777" w:rsidR="00B96A23" w:rsidRDefault="00B96A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0F25" w14:textId="77777777" w:rsidR="000B6589" w:rsidRPr="004C3AA6" w:rsidRDefault="000B6589" w:rsidP="00F5110B">
    <w:pPr>
      <w:spacing w:after="0" w:line="240" w:lineRule="auto"/>
      <w:rPr>
        <w:rFonts w:ascii="Calibri" w:eastAsia="Times New Roman" w:hAnsi="Calibri" w:cs="Times New Roman"/>
        <w:iCs/>
      </w:rPr>
    </w:pPr>
  </w:p>
  <w:p w14:paraId="1DCCB331" w14:textId="77777777" w:rsidR="000B6589" w:rsidRPr="004C3AA6" w:rsidRDefault="000B6589" w:rsidP="00F5110B">
    <w:pPr>
      <w:rPr>
        <w:rFonts w:eastAsia="Times New Roman" w:cs="Times New Roman"/>
      </w:rPr>
    </w:pPr>
    <w:r w:rsidRPr="004C3AA6">
      <w:rPr>
        <w:rFonts w:eastAsia="Times New Roman" w:cs="Times New Roman"/>
        <w:noProof/>
      </w:rPr>
      <w:drawing>
        <wp:anchor distT="0" distB="0" distL="114300" distR="114300" simplePos="0" relativeHeight="251658240" behindDoc="1" locked="0" layoutInCell="1" allowOverlap="1" wp14:anchorId="7B9569D3" wp14:editId="2E09C7FA">
          <wp:simplePos x="0" y="0"/>
          <wp:positionH relativeFrom="margin">
            <wp:align>center</wp:align>
          </wp:positionH>
          <wp:positionV relativeFrom="paragraph">
            <wp:posOffset>0</wp:posOffset>
          </wp:positionV>
          <wp:extent cx="2990215" cy="656590"/>
          <wp:effectExtent l="0" t="0" r="635" b="0"/>
          <wp:wrapTight wrapText="bothSides">
            <wp:wrapPolygon edited="0">
              <wp:start x="0" y="0"/>
              <wp:lineTo x="0" y="20681"/>
              <wp:lineTo x="21467" y="20681"/>
              <wp:lineTo x="2146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19969" b="20139"/>
                  <a:stretch>
                    <a:fillRect/>
                  </a:stretch>
                </pic:blipFill>
                <pic:spPr bwMode="auto">
                  <a:xfrm>
                    <a:off x="0" y="0"/>
                    <a:ext cx="2990215" cy="656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0333D8" w14:textId="77777777" w:rsidR="000B6589" w:rsidRPr="004C3AA6" w:rsidRDefault="000B6589" w:rsidP="00F5110B">
    <w:pPr>
      <w:rPr>
        <w:rFonts w:eastAsia="Times New Roman" w:cs="Times New Roman"/>
      </w:rPr>
    </w:pPr>
  </w:p>
  <w:p w14:paraId="02E8C588" w14:textId="77777777" w:rsidR="000B6589" w:rsidRPr="004C3AA6" w:rsidRDefault="000B6589" w:rsidP="00F5110B">
    <w:pPr>
      <w:spacing w:after="0" w:line="240" w:lineRule="auto"/>
      <w:rPr>
        <w:rFonts w:ascii="Calibri" w:eastAsia="Times New Roman" w:hAnsi="Calibri" w:cs="Times New Roman"/>
        <w:b/>
        <w:bCs/>
        <w:i/>
        <w:color w:val="1F497D"/>
        <w:sz w:val="18"/>
      </w:rPr>
    </w:pPr>
  </w:p>
  <w:p w14:paraId="36EEA0A3" w14:textId="77777777" w:rsidR="000B6589" w:rsidRPr="004C3AA6" w:rsidRDefault="000B6589" w:rsidP="00F5110B">
    <w:pPr>
      <w:spacing w:after="0" w:line="240" w:lineRule="auto"/>
      <w:jc w:val="center"/>
      <w:rPr>
        <w:rFonts w:ascii="Calibri" w:eastAsia="Times New Roman" w:hAnsi="Calibri" w:cs="Times New Roman"/>
        <w:b/>
        <w:bCs/>
        <w:i/>
        <w:sz w:val="18"/>
      </w:rPr>
    </w:pPr>
    <w:r w:rsidRPr="004C3AA6">
      <w:rPr>
        <w:rFonts w:ascii="Calibri" w:eastAsia="Times New Roman" w:hAnsi="Calibri" w:cs="Times New Roman"/>
        <w:b/>
        <w:bCs/>
        <w:i/>
        <w:sz w:val="18"/>
      </w:rPr>
      <w:t>The Diversity Center is a human relations organization dedicated to eliminating bias, bigotry, and racism.</w:t>
    </w:r>
  </w:p>
  <w:p w14:paraId="29B2CBB9" w14:textId="77777777" w:rsidR="000B6589" w:rsidRDefault="000B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730"/>
    <w:multiLevelType w:val="multilevel"/>
    <w:tmpl w:val="D7A0D7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223DBF"/>
    <w:multiLevelType w:val="hybridMultilevel"/>
    <w:tmpl w:val="AF18B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56439C"/>
    <w:multiLevelType w:val="hybridMultilevel"/>
    <w:tmpl w:val="07801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F1420"/>
    <w:multiLevelType w:val="hybridMultilevel"/>
    <w:tmpl w:val="6804004C"/>
    <w:lvl w:ilvl="0" w:tplc="04090001">
      <w:start w:val="1"/>
      <w:numFmt w:val="bullet"/>
      <w:lvlText w:val=""/>
      <w:lvlJc w:val="left"/>
      <w:pPr>
        <w:tabs>
          <w:tab w:val="num" w:pos="2340"/>
        </w:tabs>
        <w:ind w:left="2340" w:hanging="360"/>
      </w:pPr>
      <w:rPr>
        <w:rFonts w:ascii="Symbol" w:hAnsi="Symbol" w:hint="default"/>
        <w:color w:val="auto"/>
        <w:sz w:val="24"/>
        <w:szCs w:val="24"/>
      </w:rPr>
    </w:lvl>
    <w:lvl w:ilvl="1" w:tplc="04090003">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3AF45F82"/>
    <w:multiLevelType w:val="hybridMultilevel"/>
    <w:tmpl w:val="6FEE9694"/>
    <w:lvl w:ilvl="0" w:tplc="0F3A6024">
      <w:start w:val="1"/>
      <w:numFmt w:val="bullet"/>
      <w:lvlText w:val=""/>
      <w:lvlJc w:val="left"/>
      <w:pPr>
        <w:ind w:left="720" w:hanging="360"/>
      </w:pPr>
      <w:rPr>
        <w:rFonts w:ascii="Symbol" w:hAnsi="Symbol" w:hint="default"/>
      </w:rPr>
    </w:lvl>
    <w:lvl w:ilvl="1" w:tplc="B2C6E838">
      <w:start w:val="1"/>
      <w:numFmt w:val="bullet"/>
      <w:lvlText w:val="o"/>
      <w:lvlJc w:val="left"/>
      <w:pPr>
        <w:ind w:left="1440" w:hanging="360"/>
      </w:pPr>
      <w:rPr>
        <w:rFonts w:ascii="Courier New" w:hAnsi="Courier New" w:cs="Times New Roman" w:hint="default"/>
      </w:rPr>
    </w:lvl>
    <w:lvl w:ilvl="2" w:tplc="5416312E">
      <w:start w:val="1"/>
      <w:numFmt w:val="bullet"/>
      <w:lvlText w:val=""/>
      <w:lvlJc w:val="left"/>
      <w:pPr>
        <w:ind w:left="2160" w:hanging="360"/>
      </w:pPr>
      <w:rPr>
        <w:rFonts w:ascii="Wingdings" w:hAnsi="Wingdings" w:hint="default"/>
      </w:rPr>
    </w:lvl>
    <w:lvl w:ilvl="3" w:tplc="4328C0DA">
      <w:start w:val="1"/>
      <w:numFmt w:val="bullet"/>
      <w:lvlText w:val=""/>
      <w:lvlJc w:val="left"/>
      <w:pPr>
        <w:ind w:left="2880" w:hanging="360"/>
      </w:pPr>
      <w:rPr>
        <w:rFonts w:ascii="Symbol" w:hAnsi="Symbol" w:hint="default"/>
      </w:rPr>
    </w:lvl>
    <w:lvl w:ilvl="4" w:tplc="23F85F8C">
      <w:start w:val="1"/>
      <w:numFmt w:val="bullet"/>
      <w:lvlText w:val="o"/>
      <w:lvlJc w:val="left"/>
      <w:pPr>
        <w:ind w:left="3600" w:hanging="360"/>
      </w:pPr>
      <w:rPr>
        <w:rFonts w:ascii="Courier New" w:hAnsi="Courier New" w:cs="Times New Roman" w:hint="default"/>
      </w:rPr>
    </w:lvl>
    <w:lvl w:ilvl="5" w:tplc="1C7E5C54">
      <w:start w:val="1"/>
      <w:numFmt w:val="bullet"/>
      <w:lvlText w:val=""/>
      <w:lvlJc w:val="left"/>
      <w:pPr>
        <w:ind w:left="4320" w:hanging="360"/>
      </w:pPr>
      <w:rPr>
        <w:rFonts w:ascii="Wingdings" w:hAnsi="Wingdings" w:hint="default"/>
      </w:rPr>
    </w:lvl>
    <w:lvl w:ilvl="6" w:tplc="55088BDA">
      <w:start w:val="1"/>
      <w:numFmt w:val="bullet"/>
      <w:lvlText w:val=""/>
      <w:lvlJc w:val="left"/>
      <w:pPr>
        <w:ind w:left="5040" w:hanging="360"/>
      </w:pPr>
      <w:rPr>
        <w:rFonts w:ascii="Symbol" w:hAnsi="Symbol" w:hint="default"/>
      </w:rPr>
    </w:lvl>
    <w:lvl w:ilvl="7" w:tplc="8B62ADF8">
      <w:start w:val="1"/>
      <w:numFmt w:val="bullet"/>
      <w:lvlText w:val="o"/>
      <w:lvlJc w:val="left"/>
      <w:pPr>
        <w:ind w:left="5760" w:hanging="360"/>
      </w:pPr>
      <w:rPr>
        <w:rFonts w:ascii="Courier New" w:hAnsi="Courier New" w:cs="Times New Roman" w:hint="default"/>
      </w:rPr>
    </w:lvl>
    <w:lvl w:ilvl="8" w:tplc="70DAC90A">
      <w:start w:val="1"/>
      <w:numFmt w:val="bullet"/>
      <w:lvlText w:val=""/>
      <w:lvlJc w:val="left"/>
      <w:pPr>
        <w:ind w:left="6480" w:hanging="360"/>
      </w:pPr>
      <w:rPr>
        <w:rFonts w:ascii="Wingdings" w:hAnsi="Wingdings" w:hint="default"/>
      </w:rPr>
    </w:lvl>
  </w:abstractNum>
  <w:abstractNum w:abstractNumId="5" w15:restartNumberingAfterBreak="0">
    <w:nsid w:val="4A294BE8"/>
    <w:multiLevelType w:val="multilevel"/>
    <w:tmpl w:val="6B74A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6A0EE0"/>
    <w:multiLevelType w:val="hybridMultilevel"/>
    <w:tmpl w:val="C578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432AE"/>
    <w:multiLevelType w:val="hybridMultilevel"/>
    <w:tmpl w:val="E48423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2224FA"/>
    <w:multiLevelType w:val="hybridMultilevel"/>
    <w:tmpl w:val="962207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EF6C9A"/>
    <w:multiLevelType w:val="hybridMultilevel"/>
    <w:tmpl w:val="46689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7BF3A09"/>
    <w:multiLevelType w:val="hybridMultilevel"/>
    <w:tmpl w:val="7C044742"/>
    <w:lvl w:ilvl="0" w:tplc="03D2102C">
      <w:start w:val="1"/>
      <w:numFmt w:val="bullet"/>
      <w:lvlText w:val=""/>
      <w:lvlJc w:val="left"/>
      <w:pPr>
        <w:ind w:left="720" w:hanging="360"/>
      </w:pPr>
      <w:rPr>
        <w:rFonts w:ascii="Symbol" w:hAnsi="Symbol" w:hint="default"/>
      </w:rPr>
    </w:lvl>
    <w:lvl w:ilvl="1" w:tplc="E248785A">
      <w:start w:val="1"/>
      <w:numFmt w:val="bullet"/>
      <w:lvlText w:val="o"/>
      <w:lvlJc w:val="left"/>
      <w:pPr>
        <w:ind w:left="1440" w:hanging="360"/>
      </w:pPr>
      <w:rPr>
        <w:rFonts w:ascii="Courier New" w:hAnsi="Courier New" w:cs="Times New Roman" w:hint="default"/>
      </w:rPr>
    </w:lvl>
    <w:lvl w:ilvl="2" w:tplc="8DC2B05A">
      <w:start w:val="1"/>
      <w:numFmt w:val="bullet"/>
      <w:lvlText w:val=""/>
      <w:lvlJc w:val="left"/>
      <w:pPr>
        <w:ind w:left="2160" w:hanging="360"/>
      </w:pPr>
      <w:rPr>
        <w:rFonts w:ascii="Wingdings" w:hAnsi="Wingdings" w:hint="default"/>
      </w:rPr>
    </w:lvl>
    <w:lvl w:ilvl="3" w:tplc="E0884938">
      <w:start w:val="1"/>
      <w:numFmt w:val="bullet"/>
      <w:lvlText w:val=""/>
      <w:lvlJc w:val="left"/>
      <w:pPr>
        <w:ind w:left="2880" w:hanging="360"/>
      </w:pPr>
      <w:rPr>
        <w:rFonts w:ascii="Symbol" w:hAnsi="Symbol" w:hint="default"/>
      </w:rPr>
    </w:lvl>
    <w:lvl w:ilvl="4" w:tplc="42B6B086">
      <w:start w:val="1"/>
      <w:numFmt w:val="bullet"/>
      <w:lvlText w:val="o"/>
      <w:lvlJc w:val="left"/>
      <w:pPr>
        <w:ind w:left="3600" w:hanging="360"/>
      </w:pPr>
      <w:rPr>
        <w:rFonts w:ascii="Courier New" w:hAnsi="Courier New" w:cs="Times New Roman" w:hint="default"/>
      </w:rPr>
    </w:lvl>
    <w:lvl w:ilvl="5" w:tplc="93A487D0">
      <w:start w:val="1"/>
      <w:numFmt w:val="bullet"/>
      <w:lvlText w:val=""/>
      <w:lvlJc w:val="left"/>
      <w:pPr>
        <w:ind w:left="4320" w:hanging="360"/>
      </w:pPr>
      <w:rPr>
        <w:rFonts w:ascii="Wingdings" w:hAnsi="Wingdings" w:hint="default"/>
      </w:rPr>
    </w:lvl>
    <w:lvl w:ilvl="6" w:tplc="B428007E">
      <w:start w:val="1"/>
      <w:numFmt w:val="bullet"/>
      <w:lvlText w:val=""/>
      <w:lvlJc w:val="left"/>
      <w:pPr>
        <w:ind w:left="5040" w:hanging="360"/>
      </w:pPr>
      <w:rPr>
        <w:rFonts w:ascii="Symbol" w:hAnsi="Symbol" w:hint="default"/>
      </w:rPr>
    </w:lvl>
    <w:lvl w:ilvl="7" w:tplc="26B44BEE">
      <w:start w:val="1"/>
      <w:numFmt w:val="bullet"/>
      <w:lvlText w:val="o"/>
      <w:lvlJc w:val="left"/>
      <w:pPr>
        <w:ind w:left="5760" w:hanging="360"/>
      </w:pPr>
      <w:rPr>
        <w:rFonts w:ascii="Courier New" w:hAnsi="Courier New" w:cs="Times New Roman" w:hint="default"/>
      </w:rPr>
    </w:lvl>
    <w:lvl w:ilvl="8" w:tplc="787EDA1A">
      <w:start w:val="1"/>
      <w:numFmt w:val="bullet"/>
      <w:lvlText w:val=""/>
      <w:lvlJc w:val="left"/>
      <w:pPr>
        <w:ind w:left="6480" w:hanging="360"/>
      </w:pPr>
      <w:rPr>
        <w:rFonts w:ascii="Wingdings" w:hAnsi="Wingdings" w:hint="default"/>
      </w:rPr>
    </w:lvl>
  </w:abstractNum>
  <w:num w:numId="1" w16cid:durableId="1214316999">
    <w:abstractNumId w:val="7"/>
  </w:num>
  <w:num w:numId="2" w16cid:durableId="466704080">
    <w:abstractNumId w:val="3"/>
  </w:num>
  <w:num w:numId="3" w16cid:durableId="61410669">
    <w:abstractNumId w:val="8"/>
  </w:num>
  <w:num w:numId="4" w16cid:durableId="563100580">
    <w:abstractNumId w:val="2"/>
  </w:num>
  <w:num w:numId="5" w16cid:durableId="1461874534">
    <w:abstractNumId w:val="9"/>
  </w:num>
  <w:num w:numId="6" w16cid:durableId="2137484803">
    <w:abstractNumId w:val="6"/>
  </w:num>
  <w:num w:numId="7" w16cid:durableId="2056074052">
    <w:abstractNumId w:val="9"/>
  </w:num>
  <w:num w:numId="8" w16cid:durableId="77481957">
    <w:abstractNumId w:val="4"/>
  </w:num>
  <w:num w:numId="9" w16cid:durableId="774637835">
    <w:abstractNumId w:val="10"/>
  </w:num>
  <w:num w:numId="10" w16cid:durableId="1953324014">
    <w:abstractNumId w:val="0"/>
  </w:num>
  <w:num w:numId="11" w16cid:durableId="2063484960">
    <w:abstractNumId w:val="5"/>
  </w:num>
  <w:num w:numId="12" w16cid:durableId="245842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277"/>
    <w:rsid w:val="00012277"/>
    <w:rsid w:val="000640B2"/>
    <w:rsid w:val="00084716"/>
    <w:rsid w:val="00092900"/>
    <w:rsid w:val="000A4A78"/>
    <w:rsid w:val="000B6589"/>
    <w:rsid w:val="000C41B1"/>
    <w:rsid w:val="000C5E47"/>
    <w:rsid w:val="000D4CB5"/>
    <w:rsid w:val="000E3ED5"/>
    <w:rsid w:val="0010273C"/>
    <w:rsid w:val="001404EA"/>
    <w:rsid w:val="00144B6F"/>
    <w:rsid w:val="00170B71"/>
    <w:rsid w:val="00175BA0"/>
    <w:rsid w:val="0019516A"/>
    <w:rsid w:val="001A3CC6"/>
    <w:rsid w:val="001A5371"/>
    <w:rsid w:val="001B55DA"/>
    <w:rsid w:val="001C0559"/>
    <w:rsid w:val="001F59B7"/>
    <w:rsid w:val="0021316B"/>
    <w:rsid w:val="002D35F7"/>
    <w:rsid w:val="0030093E"/>
    <w:rsid w:val="00332D0B"/>
    <w:rsid w:val="0035202E"/>
    <w:rsid w:val="003534A9"/>
    <w:rsid w:val="0035480E"/>
    <w:rsid w:val="003679F9"/>
    <w:rsid w:val="00373551"/>
    <w:rsid w:val="0038504C"/>
    <w:rsid w:val="003B1EF3"/>
    <w:rsid w:val="003B5329"/>
    <w:rsid w:val="003D1DCF"/>
    <w:rsid w:val="003E7590"/>
    <w:rsid w:val="0040782F"/>
    <w:rsid w:val="00411444"/>
    <w:rsid w:val="00426A20"/>
    <w:rsid w:val="00433FBB"/>
    <w:rsid w:val="004807FB"/>
    <w:rsid w:val="00484F90"/>
    <w:rsid w:val="004C11C6"/>
    <w:rsid w:val="004D5436"/>
    <w:rsid w:val="00512411"/>
    <w:rsid w:val="00517D92"/>
    <w:rsid w:val="00533405"/>
    <w:rsid w:val="0057012B"/>
    <w:rsid w:val="00591668"/>
    <w:rsid w:val="005C47BA"/>
    <w:rsid w:val="005D29EB"/>
    <w:rsid w:val="005D77F0"/>
    <w:rsid w:val="006102D5"/>
    <w:rsid w:val="0062548A"/>
    <w:rsid w:val="006560F1"/>
    <w:rsid w:val="00666163"/>
    <w:rsid w:val="006B06F7"/>
    <w:rsid w:val="006C3639"/>
    <w:rsid w:val="006D7AD7"/>
    <w:rsid w:val="006F4DB6"/>
    <w:rsid w:val="0074742D"/>
    <w:rsid w:val="00790754"/>
    <w:rsid w:val="0079284A"/>
    <w:rsid w:val="00796F79"/>
    <w:rsid w:val="007B7FB7"/>
    <w:rsid w:val="007D10F7"/>
    <w:rsid w:val="007D39B3"/>
    <w:rsid w:val="007E4FF4"/>
    <w:rsid w:val="00841FC1"/>
    <w:rsid w:val="0084517E"/>
    <w:rsid w:val="008660EB"/>
    <w:rsid w:val="008917B1"/>
    <w:rsid w:val="008943DC"/>
    <w:rsid w:val="008A0060"/>
    <w:rsid w:val="008B7DCD"/>
    <w:rsid w:val="008C107D"/>
    <w:rsid w:val="008D2DDB"/>
    <w:rsid w:val="008E384F"/>
    <w:rsid w:val="0091085C"/>
    <w:rsid w:val="00916DC5"/>
    <w:rsid w:val="00925C71"/>
    <w:rsid w:val="00925EB4"/>
    <w:rsid w:val="00934F8B"/>
    <w:rsid w:val="00935928"/>
    <w:rsid w:val="00936276"/>
    <w:rsid w:val="00937A3B"/>
    <w:rsid w:val="00963443"/>
    <w:rsid w:val="00963EAF"/>
    <w:rsid w:val="009963F8"/>
    <w:rsid w:val="009D0F68"/>
    <w:rsid w:val="009F2DD6"/>
    <w:rsid w:val="00A27CAB"/>
    <w:rsid w:val="00A35329"/>
    <w:rsid w:val="00A614E8"/>
    <w:rsid w:val="00A67318"/>
    <w:rsid w:val="00A7222C"/>
    <w:rsid w:val="00A83B67"/>
    <w:rsid w:val="00AB4680"/>
    <w:rsid w:val="00B22178"/>
    <w:rsid w:val="00B2303B"/>
    <w:rsid w:val="00B242F9"/>
    <w:rsid w:val="00B318B3"/>
    <w:rsid w:val="00B37086"/>
    <w:rsid w:val="00B9110E"/>
    <w:rsid w:val="00B944BA"/>
    <w:rsid w:val="00B96A23"/>
    <w:rsid w:val="00BA4B9B"/>
    <w:rsid w:val="00BE0A44"/>
    <w:rsid w:val="00C61E90"/>
    <w:rsid w:val="00C81D94"/>
    <w:rsid w:val="00CB002C"/>
    <w:rsid w:val="00CF7DBC"/>
    <w:rsid w:val="00D01CC7"/>
    <w:rsid w:val="00D06ED0"/>
    <w:rsid w:val="00D13683"/>
    <w:rsid w:val="00D75F1C"/>
    <w:rsid w:val="00D8695C"/>
    <w:rsid w:val="00D87EC7"/>
    <w:rsid w:val="00DA1757"/>
    <w:rsid w:val="00E067B2"/>
    <w:rsid w:val="00E219D0"/>
    <w:rsid w:val="00E25910"/>
    <w:rsid w:val="00E26C90"/>
    <w:rsid w:val="00E372E8"/>
    <w:rsid w:val="00E4034B"/>
    <w:rsid w:val="00E64292"/>
    <w:rsid w:val="00E82736"/>
    <w:rsid w:val="00E8614A"/>
    <w:rsid w:val="00EC06C3"/>
    <w:rsid w:val="00EE0EF1"/>
    <w:rsid w:val="00EF25D8"/>
    <w:rsid w:val="00F14450"/>
    <w:rsid w:val="00F5110B"/>
    <w:rsid w:val="00F52F6C"/>
    <w:rsid w:val="00F708B3"/>
    <w:rsid w:val="00F80F5B"/>
    <w:rsid w:val="00F82011"/>
    <w:rsid w:val="00FA1404"/>
    <w:rsid w:val="00FA311B"/>
    <w:rsid w:val="00FA5D32"/>
    <w:rsid w:val="00FC314F"/>
    <w:rsid w:val="00FF0BB4"/>
    <w:rsid w:val="00FF1C22"/>
    <w:rsid w:val="2354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67F7127"/>
  <w15:chartTrackingRefBased/>
  <w15:docId w15:val="{569C4E07-CBBD-4978-B89C-67E63646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614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CC7"/>
    <w:pPr>
      <w:spacing w:after="200" w:line="276" w:lineRule="auto"/>
      <w:ind w:left="720"/>
      <w:contextualSpacing/>
    </w:pPr>
  </w:style>
  <w:style w:type="paragraph" w:styleId="Header">
    <w:name w:val="header"/>
    <w:basedOn w:val="Normal"/>
    <w:link w:val="HeaderChar"/>
    <w:uiPriority w:val="99"/>
    <w:unhideWhenUsed/>
    <w:rsid w:val="00F51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10B"/>
  </w:style>
  <w:style w:type="paragraph" w:styleId="Footer">
    <w:name w:val="footer"/>
    <w:basedOn w:val="Normal"/>
    <w:link w:val="FooterChar"/>
    <w:uiPriority w:val="99"/>
    <w:unhideWhenUsed/>
    <w:rsid w:val="00F51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10B"/>
  </w:style>
  <w:style w:type="table" w:styleId="TableGrid">
    <w:name w:val="Table Grid"/>
    <w:basedOn w:val="TableNormal"/>
    <w:uiPriority w:val="39"/>
    <w:rsid w:val="00A83B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7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AD7"/>
    <w:rPr>
      <w:rFonts w:ascii="Segoe UI" w:hAnsi="Segoe UI" w:cs="Segoe UI"/>
      <w:sz w:val="18"/>
      <w:szCs w:val="18"/>
    </w:rPr>
  </w:style>
  <w:style w:type="paragraph" w:customStyle="1" w:styleId="xmsonormal">
    <w:name w:val="x_msonormal"/>
    <w:basedOn w:val="Normal"/>
    <w:rsid w:val="00BE0A4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136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614E8"/>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39"/>
    <w:rsid w:val="00A614E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10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68629">
      <w:bodyDiv w:val="1"/>
      <w:marLeft w:val="0"/>
      <w:marRight w:val="0"/>
      <w:marTop w:val="0"/>
      <w:marBottom w:val="0"/>
      <w:divBdr>
        <w:top w:val="none" w:sz="0" w:space="0" w:color="auto"/>
        <w:left w:val="none" w:sz="0" w:space="0" w:color="auto"/>
        <w:bottom w:val="none" w:sz="0" w:space="0" w:color="auto"/>
        <w:right w:val="none" w:sz="0" w:space="0" w:color="auto"/>
      </w:divBdr>
    </w:div>
    <w:div w:id="296499153">
      <w:bodyDiv w:val="1"/>
      <w:marLeft w:val="0"/>
      <w:marRight w:val="0"/>
      <w:marTop w:val="0"/>
      <w:marBottom w:val="0"/>
      <w:divBdr>
        <w:top w:val="none" w:sz="0" w:space="0" w:color="auto"/>
        <w:left w:val="none" w:sz="0" w:space="0" w:color="auto"/>
        <w:bottom w:val="none" w:sz="0" w:space="0" w:color="auto"/>
        <w:right w:val="none" w:sz="0" w:space="0" w:color="auto"/>
      </w:divBdr>
    </w:div>
    <w:div w:id="391268804">
      <w:bodyDiv w:val="1"/>
      <w:marLeft w:val="0"/>
      <w:marRight w:val="0"/>
      <w:marTop w:val="0"/>
      <w:marBottom w:val="0"/>
      <w:divBdr>
        <w:top w:val="none" w:sz="0" w:space="0" w:color="auto"/>
        <w:left w:val="none" w:sz="0" w:space="0" w:color="auto"/>
        <w:bottom w:val="none" w:sz="0" w:space="0" w:color="auto"/>
        <w:right w:val="none" w:sz="0" w:space="0" w:color="auto"/>
      </w:divBdr>
    </w:div>
    <w:div w:id="766774106">
      <w:bodyDiv w:val="1"/>
      <w:marLeft w:val="0"/>
      <w:marRight w:val="0"/>
      <w:marTop w:val="0"/>
      <w:marBottom w:val="0"/>
      <w:divBdr>
        <w:top w:val="none" w:sz="0" w:space="0" w:color="auto"/>
        <w:left w:val="none" w:sz="0" w:space="0" w:color="auto"/>
        <w:bottom w:val="none" w:sz="0" w:space="0" w:color="auto"/>
        <w:right w:val="none" w:sz="0" w:space="0" w:color="auto"/>
      </w:divBdr>
    </w:div>
    <w:div w:id="1305699938">
      <w:bodyDiv w:val="1"/>
      <w:marLeft w:val="0"/>
      <w:marRight w:val="0"/>
      <w:marTop w:val="0"/>
      <w:marBottom w:val="0"/>
      <w:divBdr>
        <w:top w:val="none" w:sz="0" w:space="0" w:color="auto"/>
        <w:left w:val="none" w:sz="0" w:space="0" w:color="auto"/>
        <w:bottom w:val="none" w:sz="0" w:space="0" w:color="auto"/>
        <w:right w:val="none" w:sz="0" w:space="0" w:color="auto"/>
      </w:divBdr>
    </w:div>
    <w:div w:id="1435595608">
      <w:bodyDiv w:val="1"/>
      <w:marLeft w:val="0"/>
      <w:marRight w:val="0"/>
      <w:marTop w:val="0"/>
      <w:marBottom w:val="0"/>
      <w:divBdr>
        <w:top w:val="none" w:sz="0" w:space="0" w:color="auto"/>
        <w:left w:val="none" w:sz="0" w:space="0" w:color="auto"/>
        <w:bottom w:val="none" w:sz="0" w:space="0" w:color="auto"/>
        <w:right w:val="none" w:sz="0" w:space="0" w:color="auto"/>
      </w:divBdr>
    </w:div>
    <w:div w:id="198307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6C8C8ABAEDDD46A9AD79F0D5900AAE" ma:contentTypeVersion="19" ma:contentTypeDescription="Create a new document." ma:contentTypeScope="" ma:versionID="cee8b728128a5e6c385e57581cc7ad05">
  <xsd:schema xmlns:xsd="http://www.w3.org/2001/XMLSchema" xmlns:xs="http://www.w3.org/2001/XMLSchema" xmlns:p="http://schemas.microsoft.com/office/2006/metadata/properties" xmlns:ns2="a4da2a9a-ad28-46a0-b183-74eab8cfb967" xmlns:ns3="ab69a522-0d8b-4541-bc6e-910c8e0756a5" targetNamespace="http://schemas.microsoft.com/office/2006/metadata/properties" ma:root="true" ma:fieldsID="e6b0a0f37d232ef0c472b26f9f87d780" ns2:_="" ns3:_="">
    <xsd:import namespace="a4da2a9a-ad28-46a0-b183-74eab8cfb967"/>
    <xsd:import namespace="ab69a522-0d8b-4541-bc6e-910c8e0756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Dat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a2a9a-ad28-46a0-b183-74eab8cfb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e" ma:index="21" nillable="true" ma:displayName="Date" ma:format="DateOnly" ma:internalName="Dat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4a5fdc-923b-4a87-a338-59823a8310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69a522-0d8b-4541-bc6e-910c8e0756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75f8a02-df9e-45bb-83cc-09e576846424}" ma:internalName="TaxCatchAll" ma:showField="CatchAllData" ma:web="ab69a522-0d8b-4541-bc6e-910c8e0756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a4da2a9a-ad28-46a0-b183-74eab8cfb967" xsi:nil="true"/>
    <lcf76f155ced4ddcb4097134ff3c332f xmlns="a4da2a9a-ad28-46a0-b183-74eab8cfb967">
      <Terms xmlns="http://schemas.microsoft.com/office/infopath/2007/PartnerControls"/>
    </lcf76f155ced4ddcb4097134ff3c332f>
    <TaxCatchAll xmlns="ab69a522-0d8b-4541-bc6e-910c8e0756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C28A21-E5D3-4C27-B3BB-82BB760C5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a2a9a-ad28-46a0-b183-74eab8cfb967"/>
    <ds:schemaRef ds:uri="ab69a522-0d8b-4541-bc6e-910c8e075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29BF8F-AF5B-4FB6-AB14-B831F9E979A7}">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a4da2a9a-ad28-46a0-b183-74eab8cfb967"/>
    <ds:schemaRef ds:uri="ab69a522-0d8b-4541-bc6e-910c8e0756a5"/>
    <ds:schemaRef ds:uri="http://www.w3.org/XML/1998/namespace"/>
    <ds:schemaRef ds:uri="http://purl.org/dc/dcmitype/"/>
  </ds:schemaRefs>
</ds:datastoreItem>
</file>

<file path=customXml/itemProps3.xml><?xml version="1.0" encoding="utf-8"?>
<ds:datastoreItem xmlns:ds="http://schemas.openxmlformats.org/officeDocument/2006/customXml" ds:itemID="{779635D6-4982-480A-9D39-E9776FB0D3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1480</Words>
  <Characters>8436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Hawkins</dc:creator>
  <cp:keywords/>
  <dc:description/>
  <cp:lastModifiedBy>Andrea Barnes</cp:lastModifiedBy>
  <cp:revision>2</cp:revision>
  <cp:lastPrinted>2017-10-25T14:46:00Z</cp:lastPrinted>
  <dcterms:created xsi:type="dcterms:W3CDTF">2024-02-26T21:27:00Z</dcterms:created>
  <dcterms:modified xsi:type="dcterms:W3CDTF">2024-02-26T21:27:00Z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0x0101005D6C8C8ABAEDDD46A9AD79F0D5900AAE</vt:lpwstr>
  </property>
  <property fmtid="{D5CDD505-2E9C-101B-9397-08002B2CF9AE}" pid="3" name="MediaServiceImageTags">
    <vt:lpwstr/>
  </property>
</Properties>
</file>