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FF" w:rsidRPr="00C60008" w:rsidRDefault="0026055E" w:rsidP="008D5576">
      <w:pPr>
        <w:spacing w:after="0" w:line="240" w:lineRule="auto"/>
        <w:jc w:val="center"/>
        <w:rPr>
          <w:b/>
        </w:rPr>
      </w:pPr>
      <w:r w:rsidRPr="00C60008">
        <w:rPr>
          <w:b/>
        </w:rPr>
        <w:t>Environmental Health Monthly Report</w:t>
      </w:r>
    </w:p>
    <w:p w:rsidR="0026055E" w:rsidRPr="00C60008" w:rsidRDefault="0026055E" w:rsidP="008D5576">
      <w:pPr>
        <w:spacing w:after="0" w:line="240" w:lineRule="auto"/>
        <w:jc w:val="center"/>
        <w:rPr>
          <w:b/>
        </w:rPr>
      </w:pPr>
      <w:r w:rsidRPr="00C60008">
        <w:rPr>
          <w:b/>
        </w:rPr>
        <w:t>J</w:t>
      </w:r>
      <w:r w:rsidR="00680EFF">
        <w:rPr>
          <w:b/>
        </w:rPr>
        <w:t>uly</w:t>
      </w:r>
      <w:r w:rsidRPr="00C60008">
        <w:rPr>
          <w:b/>
        </w:rPr>
        <w:t xml:space="preserve"> 2013</w:t>
      </w:r>
    </w:p>
    <w:p w:rsidR="0026055E" w:rsidRDefault="0026055E" w:rsidP="008D5576">
      <w:pPr>
        <w:spacing w:after="0" w:line="240" w:lineRule="auto"/>
        <w:jc w:val="both"/>
      </w:pPr>
    </w:p>
    <w:p w:rsidR="00571E03" w:rsidRDefault="0026055E" w:rsidP="00571E03">
      <w:pPr>
        <w:spacing w:after="0" w:line="240" w:lineRule="auto"/>
        <w:jc w:val="both"/>
      </w:pPr>
      <w:r w:rsidRPr="00571E03">
        <w:rPr>
          <w:b/>
        </w:rPr>
        <w:t>Accreditation</w:t>
      </w:r>
      <w:r w:rsidR="000B4CE5" w:rsidRPr="00571E03">
        <w:rPr>
          <w:b/>
        </w:rPr>
        <w:t xml:space="preserve"> </w:t>
      </w:r>
      <w:r w:rsidR="000B4CE5" w:rsidRPr="00571E03">
        <w:t xml:space="preserve">– </w:t>
      </w:r>
      <w:r w:rsidR="008D5576" w:rsidRPr="00571E03">
        <w:t>The accreditation team (Dr. Novack</w:t>
      </w:r>
      <w:r w:rsidR="00571E03">
        <w:t xml:space="preserve">, Ms. Crossland, </w:t>
      </w:r>
      <w:proofErr w:type="gramStart"/>
      <w:r w:rsidR="00571E03">
        <w:t>Ms</w:t>
      </w:r>
      <w:proofErr w:type="gramEnd"/>
      <w:r w:rsidR="00571E03">
        <w:t>. Zmuda) has</w:t>
      </w:r>
      <w:r w:rsidR="008D5576" w:rsidRPr="00571E03">
        <w:t xml:space="preserve"> selected the following domains to be the focus of accreditation work for the remainder of 2013:</w:t>
      </w:r>
    </w:p>
    <w:p w:rsidR="00571E03" w:rsidRPr="00571E03" w:rsidRDefault="008D5576" w:rsidP="00571E03">
      <w:pPr>
        <w:spacing w:after="0" w:line="240" w:lineRule="auto"/>
        <w:ind w:left="1440" w:hanging="720"/>
        <w:jc w:val="both"/>
      </w:pPr>
      <w:r w:rsidRPr="00571E03">
        <w:rPr>
          <w:rFonts w:cs="Tahoma"/>
          <w:sz w:val="20"/>
          <w:szCs w:val="20"/>
        </w:rPr>
        <w:t>Domain 1</w:t>
      </w:r>
      <w:r w:rsidR="00571E03">
        <w:rPr>
          <w:rFonts w:cs="Tahoma"/>
          <w:sz w:val="20"/>
          <w:szCs w:val="20"/>
        </w:rPr>
        <w:t xml:space="preserve"> – Conduct and disseminate assessments focused on population health status and public health issues      facing the community</w:t>
      </w:r>
    </w:p>
    <w:p w:rsidR="00571E03" w:rsidRPr="00571E03" w:rsidRDefault="00571E03" w:rsidP="00571E03">
      <w:pPr>
        <w:spacing w:after="0" w:line="240" w:lineRule="auto"/>
        <w:ind w:left="720"/>
        <w:jc w:val="both"/>
        <w:rPr>
          <w:rFonts w:cs="Tahoma"/>
          <w:sz w:val="20"/>
          <w:szCs w:val="20"/>
        </w:rPr>
      </w:pPr>
      <w:r>
        <w:rPr>
          <w:rFonts w:cs="Tahoma"/>
          <w:sz w:val="20"/>
          <w:szCs w:val="20"/>
        </w:rPr>
        <w:t xml:space="preserve">Domain </w:t>
      </w:r>
      <w:r w:rsidR="008D5576" w:rsidRPr="00571E03">
        <w:rPr>
          <w:rFonts w:cs="Tahoma"/>
          <w:sz w:val="20"/>
          <w:szCs w:val="20"/>
        </w:rPr>
        <w:t>5</w:t>
      </w:r>
      <w:r>
        <w:rPr>
          <w:rFonts w:cs="Tahoma"/>
          <w:sz w:val="20"/>
          <w:szCs w:val="20"/>
        </w:rPr>
        <w:t xml:space="preserve"> – Develop public health policies and plans</w:t>
      </w:r>
    </w:p>
    <w:p w:rsidR="00571E03" w:rsidRDefault="008D5576" w:rsidP="00571E03">
      <w:pPr>
        <w:spacing w:after="0" w:line="240" w:lineRule="auto"/>
        <w:ind w:left="720"/>
        <w:jc w:val="both"/>
        <w:rPr>
          <w:rFonts w:cs="Tahoma"/>
          <w:sz w:val="20"/>
          <w:szCs w:val="20"/>
        </w:rPr>
      </w:pPr>
      <w:r w:rsidRPr="00571E03">
        <w:rPr>
          <w:rFonts w:cs="Tahoma"/>
          <w:sz w:val="20"/>
          <w:szCs w:val="20"/>
        </w:rPr>
        <w:t>Domain 8</w:t>
      </w:r>
      <w:r w:rsidR="00571E03">
        <w:rPr>
          <w:rFonts w:cs="Tahoma"/>
          <w:sz w:val="20"/>
          <w:szCs w:val="20"/>
        </w:rPr>
        <w:t xml:space="preserve"> – Maintain a competent public health workforce</w:t>
      </w:r>
    </w:p>
    <w:p w:rsidR="004123B1" w:rsidRPr="00571E03" w:rsidRDefault="008D5576" w:rsidP="00571E03">
      <w:pPr>
        <w:spacing w:after="0" w:line="240" w:lineRule="auto"/>
        <w:ind w:left="720"/>
        <w:jc w:val="both"/>
      </w:pPr>
      <w:r w:rsidRPr="00571E03">
        <w:rPr>
          <w:rFonts w:cs="Tahoma"/>
          <w:sz w:val="20"/>
          <w:szCs w:val="20"/>
        </w:rPr>
        <w:t>Domain 11</w:t>
      </w:r>
      <w:r w:rsidR="00571E03">
        <w:rPr>
          <w:rFonts w:cs="Tahoma"/>
          <w:sz w:val="20"/>
          <w:szCs w:val="20"/>
        </w:rPr>
        <w:t xml:space="preserve"> – Maintain administrative and management capacity</w:t>
      </w:r>
    </w:p>
    <w:p w:rsidR="00571E03" w:rsidRDefault="00571E03" w:rsidP="008D5576">
      <w:pPr>
        <w:spacing w:after="0" w:line="240" w:lineRule="auto"/>
        <w:jc w:val="both"/>
        <w:rPr>
          <w:b/>
        </w:rPr>
      </w:pPr>
    </w:p>
    <w:p w:rsidR="0026055E" w:rsidRPr="00571E03" w:rsidRDefault="000B4CE5" w:rsidP="008D5576">
      <w:pPr>
        <w:spacing w:after="0" w:line="240" w:lineRule="auto"/>
        <w:jc w:val="both"/>
      </w:pPr>
      <w:r w:rsidRPr="00571E03">
        <w:rPr>
          <w:b/>
        </w:rPr>
        <w:t>Key Metrics</w:t>
      </w:r>
      <w:r w:rsidRPr="00571E03">
        <w:t xml:space="preserve"> – </w:t>
      </w:r>
    </w:p>
    <w:p w:rsidR="008748B3" w:rsidRPr="004123B1" w:rsidRDefault="008748B3" w:rsidP="008D5576">
      <w:pPr>
        <w:spacing w:after="0" w:line="240" w:lineRule="auto"/>
        <w:jc w:val="both"/>
        <w:rPr>
          <w:b/>
        </w:rPr>
      </w:pPr>
      <w:r>
        <w:t>Some examples of metrics that can be tracked and measured are listed below</w:t>
      </w:r>
      <w:r w:rsidR="00A62524">
        <w:t xml:space="preserve"> along with </w:t>
      </w:r>
      <w:r w:rsidR="008D5576">
        <w:t xml:space="preserve">suggested reporting intervals and </w:t>
      </w:r>
      <w:r w:rsidR="00A62524">
        <w:t xml:space="preserve">actual data for some of the metrics. Ms. Zmuda is open to feedback </w:t>
      </w:r>
      <w:r>
        <w:t>about</w:t>
      </w:r>
      <w:r w:rsidR="00A62524">
        <w:t xml:space="preserve"> whether this is the type of information desired, if there are additional or alternative suggestions, etc. Once desired metrics have been identified meaningful, user-friendly methods of reporting and graphically representing </w:t>
      </w:r>
      <w:r w:rsidR="008D5576">
        <w:t xml:space="preserve">the data can be selected. </w:t>
      </w:r>
      <w:r w:rsidR="00A62524">
        <w:t xml:space="preserve">     </w:t>
      </w:r>
      <w:r>
        <w:t xml:space="preserve">  </w:t>
      </w:r>
    </w:p>
    <w:p w:rsidR="00A62524" w:rsidRDefault="00A62524" w:rsidP="001249F3">
      <w:pPr>
        <w:spacing w:after="0" w:line="240" w:lineRule="auto"/>
        <w:jc w:val="both"/>
        <w:rPr>
          <w:i/>
        </w:rPr>
      </w:pPr>
    </w:p>
    <w:p w:rsidR="004123B1" w:rsidRPr="00927E31" w:rsidRDefault="004123B1" w:rsidP="001249F3">
      <w:pPr>
        <w:spacing w:after="0" w:line="240" w:lineRule="auto"/>
        <w:jc w:val="both"/>
        <w:rPr>
          <w:i/>
        </w:rPr>
      </w:pPr>
      <w:r w:rsidRPr="00927E31">
        <w:rPr>
          <w:i/>
        </w:rPr>
        <w:t>Food Safety</w:t>
      </w:r>
    </w:p>
    <w:p w:rsidR="008748B3" w:rsidRPr="008D5576" w:rsidRDefault="008748B3" w:rsidP="008D5576">
      <w:pPr>
        <w:spacing w:after="0" w:line="240" w:lineRule="auto"/>
        <w:ind w:left="720"/>
        <w:jc w:val="both"/>
        <w:rPr>
          <w:b/>
        </w:rPr>
      </w:pPr>
      <w:proofErr w:type="gramStart"/>
      <w:r w:rsidRPr="00365BBB">
        <w:rPr>
          <w:b/>
        </w:rPr>
        <w:t>cost</w:t>
      </w:r>
      <w:proofErr w:type="gramEnd"/>
      <w:r w:rsidRPr="00365BBB">
        <w:rPr>
          <w:b/>
        </w:rPr>
        <w:t xml:space="preserve"> analysis interval</w:t>
      </w:r>
      <w:r w:rsidR="008D5576">
        <w:rPr>
          <w:b/>
        </w:rPr>
        <w:t xml:space="preserve"> – report annually</w:t>
      </w:r>
    </w:p>
    <w:p w:rsidR="008748B3" w:rsidRDefault="008748B3" w:rsidP="008748B3">
      <w:pPr>
        <w:spacing w:after="0" w:line="240" w:lineRule="auto"/>
        <w:ind w:left="720"/>
        <w:jc w:val="both"/>
      </w:pPr>
      <w:proofErr w:type="gramStart"/>
      <w:r>
        <w:t>annual</w:t>
      </w:r>
      <w:proofErr w:type="gramEnd"/>
      <w:r>
        <w:t xml:space="preserve"> per Ohio Administrative Code (3701-21-02.2 FSO, 901:3-4-04(A) RFE)</w:t>
      </w:r>
    </w:p>
    <w:p w:rsidR="008748B3" w:rsidRDefault="008748B3" w:rsidP="008748B3">
      <w:pPr>
        <w:spacing w:after="0" w:line="240" w:lineRule="auto"/>
        <w:ind w:left="720"/>
        <w:jc w:val="both"/>
      </w:pPr>
      <w:proofErr w:type="gramStart"/>
      <w:r>
        <w:t>last</w:t>
      </w:r>
      <w:proofErr w:type="gramEnd"/>
      <w:r>
        <w:t xml:space="preserve"> Board of Health adoption 01/08/13</w:t>
      </w:r>
    </w:p>
    <w:p w:rsidR="008748B3" w:rsidRPr="008748B3" w:rsidRDefault="008748B3" w:rsidP="008D5576">
      <w:pPr>
        <w:spacing w:after="0" w:line="240" w:lineRule="auto"/>
        <w:ind w:left="720"/>
        <w:jc w:val="both"/>
        <w:rPr>
          <w:b/>
        </w:rPr>
      </w:pPr>
      <w:proofErr w:type="gramStart"/>
      <w:r w:rsidRPr="00365BBB">
        <w:rPr>
          <w:b/>
        </w:rPr>
        <w:t>survey</w:t>
      </w:r>
      <w:proofErr w:type="gramEnd"/>
      <w:r w:rsidRPr="00365BBB">
        <w:rPr>
          <w:b/>
        </w:rPr>
        <w:t xml:space="preserve"> intervals, dates, </w:t>
      </w:r>
      <w:r w:rsidR="008D5576">
        <w:rPr>
          <w:b/>
        </w:rPr>
        <w:t>status – report annually</w:t>
      </w:r>
    </w:p>
    <w:p w:rsidR="008748B3" w:rsidRPr="006F2BCC" w:rsidRDefault="008748B3" w:rsidP="008748B3">
      <w:pPr>
        <w:spacing w:after="0" w:line="240" w:lineRule="auto"/>
        <w:ind w:left="720"/>
        <w:jc w:val="both"/>
      </w:pPr>
      <w:proofErr w:type="gramStart"/>
      <w:r>
        <w:t>at</w:t>
      </w:r>
      <w:proofErr w:type="gramEnd"/>
      <w:r>
        <w:t xml:space="preserve"> least one survey every 3 years from </w:t>
      </w:r>
      <w:r w:rsidRPr="006F2BCC">
        <w:rPr>
          <w:i/>
        </w:rPr>
        <w:t>each</w:t>
      </w:r>
      <w:r>
        <w:t xml:space="preserve"> director/agency</w:t>
      </w:r>
    </w:p>
    <w:p w:rsidR="008748B3" w:rsidRDefault="008748B3" w:rsidP="008748B3">
      <w:pPr>
        <w:spacing w:after="0" w:line="240" w:lineRule="auto"/>
        <w:ind w:left="720"/>
        <w:jc w:val="both"/>
      </w:pPr>
      <w:r>
        <w:t>Ohio Department of Agriculture – 05/07/13-05/09/13; APPROVED status</w:t>
      </w:r>
    </w:p>
    <w:p w:rsidR="008748B3" w:rsidRDefault="008748B3" w:rsidP="008748B3">
      <w:pPr>
        <w:spacing w:after="0" w:line="240" w:lineRule="auto"/>
        <w:ind w:left="720" w:firstLine="720"/>
        <w:jc w:val="both"/>
      </w:pPr>
      <w:proofErr w:type="gramStart"/>
      <w:r>
        <w:t>deficiencies</w:t>
      </w:r>
      <w:proofErr w:type="gramEnd"/>
      <w:r>
        <w:t xml:space="preserve"> – training and evaluation of food program sanitarian</w:t>
      </w:r>
    </w:p>
    <w:p w:rsidR="008748B3" w:rsidRDefault="008748B3" w:rsidP="008748B3">
      <w:pPr>
        <w:spacing w:after="0" w:line="240" w:lineRule="auto"/>
        <w:ind w:left="720"/>
        <w:jc w:val="both"/>
      </w:pPr>
      <w:r>
        <w:t xml:space="preserve">Ohio Department of Health – 05/22/12-05/24/12; APPROVED status </w:t>
      </w:r>
    </w:p>
    <w:p w:rsidR="008748B3" w:rsidRPr="006F2BCC" w:rsidRDefault="008748B3" w:rsidP="008748B3">
      <w:pPr>
        <w:spacing w:after="0" w:line="240" w:lineRule="auto"/>
        <w:ind w:left="1440"/>
        <w:jc w:val="both"/>
      </w:pPr>
      <w:proofErr w:type="gramStart"/>
      <w:r>
        <w:t>deficiencies</w:t>
      </w:r>
      <w:proofErr w:type="gramEnd"/>
      <w:r>
        <w:t xml:space="preserve"> – missing elements in plan review submissions, no field verification of light intensity for new restaurant</w:t>
      </w:r>
    </w:p>
    <w:p w:rsidR="008748B3" w:rsidRDefault="008748B3" w:rsidP="008D5576">
      <w:pPr>
        <w:spacing w:after="0" w:line="240" w:lineRule="auto"/>
        <w:ind w:left="720"/>
        <w:jc w:val="both"/>
        <w:rPr>
          <w:b/>
        </w:rPr>
      </w:pPr>
      <w:proofErr w:type="gramStart"/>
      <w:r w:rsidRPr="00EC6FD6">
        <w:rPr>
          <w:b/>
        </w:rPr>
        <w:t>applicatio</w:t>
      </w:r>
      <w:r w:rsidR="008D5576">
        <w:rPr>
          <w:b/>
        </w:rPr>
        <w:t>ns</w:t>
      </w:r>
      <w:proofErr w:type="gramEnd"/>
      <w:r w:rsidR="008D5576">
        <w:rPr>
          <w:b/>
        </w:rPr>
        <w:t xml:space="preserve"> submitted on time, late fees – report annually</w:t>
      </w:r>
    </w:p>
    <w:p w:rsidR="008748B3" w:rsidRDefault="008748B3" w:rsidP="008748B3">
      <w:pPr>
        <w:spacing w:after="0" w:line="240" w:lineRule="auto"/>
        <w:ind w:left="720"/>
        <w:jc w:val="both"/>
      </w:pPr>
      <w:r>
        <w:t xml:space="preserve">2 facilities renewed licenses after the due date for </w:t>
      </w:r>
      <w:r w:rsidR="008D5576">
        <w:t xml:space="preserve">the </w:t>
      </w:r>
      <w:r>
        <w:t xml:space="preserve">2013-14 license </w:t>
      </w:r>
      <w:proofErr w:type="gramStart"/>
      <w:r>
        <w:t>year</w:t>
      </w:r>
      <w:proofErr w:type="gramEnd"/>
    </w:p>
    <w:p w:rsidR="008748B3" w:rsidRDefault="008748B3" w:rsidP="008748B3">
      <w:pPr>
        <w:spacing w:after="0" w:line="240" w:lineRule="auto"/>
        <w:ind w:left="720"/>
        <w:jc w:val="both"/>
      </w:pPr>
      <w:r>
        <w:t>TOTAL LATE FEES = $199.96.</w:t>
      </w:r>
    </w:p>
    <w:p w:rsidR="008748B3" w:rsidRDefault="008748B3" w:rsidP="008D5576">
      <w:pPr>
        <w:spacing w:after="0" w:line="240" w:lineRule="auto"/>
        <w:ind w:left="720"/>
        <w:jc w:val="both"/>
        <w:rPr>
          <w:b/>
        </w:rPr>
      </w:pPr>
      <w:r w:rsidRPr="00E03731">
        <w:rPr>
          <w:b/>
        </w:rPr>
        <w:t xml:space="preserve"> #, type of facilities</w:t>
      </w:r>
      <w:r w:rsidR="008D5576">
        <w:rPr>
          <w:b/>
        </w:rPr>
        <w:t xml:space="preserve"> – report annually</w:t>
      </w:r>
    </w:p>
    <w:tbl>
      <w:tblPr>
        <w:tblStyle w:val="TableGrid"/>
        <w:tblW w:w="9576" w:type="dxa"/>
        <w:tblInd w:w="720" w:type="dxa"/>
        <w:tblLook w:val="04A0"/>
      </w:tblPr>
      <w:tblGrid>
        <w:gridCol w:w="1203"/>
        <w:gridCol w:w="1186"/>
        <w:gridCol w:w="1186"/>
        <w:gridCol w:w="1186"/>
        <w:gridCol w:w="1186"/>
        <w:gridCol w:w="1246"/>
        <w:gridCol w:w="1284"/>
        <w:gridCol w:w="1099"/>
      </w:tblGrid>
      <w:tr w:rsidR="008748B3" w:rsidTr="008748B3">
        <w:tc>
          <w:tcPr>
            <w:tcW w:w="1203" w:type="dxa"/>
          </w:tcPr>
          <w:p w:rsidR="008748B3" w:rsidRPr="00791240" w:rsidRDefault="008748B3" w:rsidP="008748B3">
            <w:pPr>
              <w:jc w:val="center"/>
              <w:rPr>
                <w:b/>
              </w:rPr>
            </w:pPr>
            <w:r w:rsidRPr="00791240">
              <w:rPr>
                <w:b/>
              </w:rPr>
              <w:t>2013-14</w:t>
            </w:r>
          </w:p>
        </w:tc>
        <w:tc>
          <w:tcPr>
            <w:tcW w:w="1186" w:type="dxa"/>
          </w:tcPr>
          <w:p w:rsidR="008748B3" w:rsidRPr="004A75E0" w:rsidRDefault="008748B3" w:rsidP="008748B3">
            <w:pPr>
              <w:jc w:val="center"/>
              <w:rPr>
                <w:b/>
              </w:rPr>
            </w:pPr>
            <w:r w:rsidRPr="004A75E0">
              <w:rPr>
                <w:b/>
              </w:rPr>
              <w:t>Risk Level 1</w:t>
            </w:r>
          </w:p>
        </w:tc>
        <w:tc>
          <w:tcPr>
            <w:tcW w:w="1186" w:type="dxa"/>
          </w:tcPr>
          <w:p w:rsidR="008748B3" w:rsidRPr="004A75E0" w:rsidRDefault="008748B3" w:rsidP="008748B3">
            <w:pPr>
              <w:jc w:val="center"/>
              <w:rPr>
                <w:b/>
              </w:rPr>
            </w:pPr>
            <w:r w:rsidRPr="004A75E0">
              <w:rPr>
                <w:b/>
              </w:rPr>
              <w:t>Risk Level 2</w:t>
            </w:r>
          </w:p>
        </w:tc>
        <w:tc>
          <w:tcPr>
            <w:tcW w:w="1186" w:type="dxa"/>
          </w:tcPr>
          <w:p w:rsidR="008748B3" w:rsidRPr="004A75E0" w:rsidRDefault="008748B3" w:rsidP="008748B3">
            <w:pPr>
              <w:jc w:val="center"/>
              <w:rPr>
                <w:b/>
              </w:rPr>
            </w:pPr>
            <w:r w:rsidRPr="004A75E0">
              <w:rPr>
                <w:b/>
              </w:rPr>
              <w:t>Risk Level 3</w:t>
            </w:r>
          </w:p>
        </w:tc>
        <w:tc>
          <w:tcPr>
            <w:tcW w:w="1186" w:type="dxa"/>
          </w:tcPr>
          <w:p w:rsidR="008748B3" w:rsidRPr="004A75E0" w:rsidRDefault="008748B3" w:rsidP="008748B3">
            <w:pPr>
              <w:jc w:val="center"/>
              <w:rPr>
                <w:b/>
              </w:rPr>
            </w:pPr>
            <w:r w:rsidRPr="004A75E0">
              <w:rPr>
                <w:b/>
              </w:rPr>
              <w:t>Risk Level 4</w:t>
            </w:r>
          </w:p>
        </w:tc>
        <w:tc>
          <w:tcPr>
            <w:tcW w:w="1246" w:type="dxa"/>
          </w:tcPr>
          <w:p w:rsidR="008748B3" w:rsidRPr="004A75E0" w:rsidRDefault="008748B3" w:rsidP="008748B3">
            <w:pPr>
              <w:jc w:val="center"/>
              <w:rPr>
                <w:b/>
              </w:rPr>
            </w:pPr>
            <w:r w:rsidRPr="004A75E0">
              <w:rPr>
                <w:b/>
              </w:rPr>
              <w:t>Mobile</w:t>
            </w:r>
          </w:p>
        </w:tc>
        <w:tc>
          <w:tcPr>
            <w:tcW w:w="1284" w:type="dxa"/>
          </w:tcPr>
          <w:p w:rsidR="008748B3" w:rsidRPr="004A75E0" w:rsidRDefault="008748B3" w:rsidP="008748B3">
            <w:pPr>
              <w:jc w:val="center"/>
              <w:rPr>
                <w:b/>
              </w:rPr>
            </w:pPr>
            <w:r w:rsidRPr="004A75E0">
              <w:rPr>
                <w:b/>
              </w:rPr>
              <w:t>Temporary</w:t>
            </w:r>
          </w:p>
        </w:tc>
        <w:tc>
          <w:tcPr>
            <w:tcW w:w="1099" w:type="dxa"/>
          </w:tcPr>
          <w:p w:rsidR="008748B3" w:rsidRPr="004A75E0" w:rsidRDefault="008748B3" w:rsidP="008748B3">
            <w:pPr>
              <w:jc w:val="center"/>
              <w:rPr>
                <w:b/>
              </w:rPr>
            </w:pPr>
            <w:r w:rsidRPr="004A75E0">
              <w:rPr>
                <w:b/>
              </w:rPr>
              <w:t>Vending</w:t>
            </w:r>
          </w:p>
        </w:tc>
      </w:tr>
      <w:tr w:rsidR="008748B3" w:rsidTr="008748B3">
        <w:tc>
          <w:tcPr>
            <w:tcW w:w="1203" w:type="dxa"/>
          </w:tcPr>
          <w:p w:rsidR="008748B3" w:rsidRPr="004A75E0" w:rsidRDefault="008748B3" w:rsidP="008748B3">
            <w:pPr>
              <w:jc w:val="center"/>
              <w:rPr>
                <w:b/>
              </w:rPr>
            </w:pPr>
            <w:r w:rsidRPr="004A75E0">
              <w:rPr>
                <w:b/>
              </w:rPr>
              <w:t>FSO</w:t>
            </w:r>
          </w:p>
        </w:tc>
        <w:tc>
          <w:tcPr>
            <w:tcW w:w="1186" w:type="dxa"/>
          </w:tcPr>
          <w:p w:rsidR="008748B3" w:rsidRDefault="008748B3" w:rsidP="008748B3">
            <w:pPr>
              <w:jc w:val="center"/>
            </w:pPr>
            <w:r>
              <w:t>0</w:t>
            </w:r>
          </w:p>
        </w:tc>
        <w:tc>
          <w:tcPr>
            <w:tcW w:w="1186" w:type="dxa"/>
          </w:tcPr>
          <w:p w:rsidR="008748B3" w:rsidRDefault="008748B3" w:rsidP="008748B3">
            <w:pPr>
              <w:jc w:val="center"/>
            </w:pPr>
            <w:r>
              <w:t>6</w:t>
            </w:r>
          </w:p>
        </w:tc>
        <w:tc>
          <w:tcPr>
            <w:tcW w:w="1186" w:type="dxa"/>
          </w:tcPr>
          <w:p w:rsidR="008748B3" w:rsidRDefault="008748B3" w:rsidP="008748B3">
            <w:pPr>
              <w:jc w:val="center"/>
            </w:pPr>
            <w:r>
              <w:t>23</w:t>
            </w:r>
          </w:p>
        </w:tc>
        <w:tc>
          <w:tcPr>
            <w:tcW w:w="1186" w:type="dxa"/>
          </w:tcPr>
          <w:p w:rsidR="008748B3" w:rsidRDefault="008748B3" w:rsidP="008748B3">
            <w:pPr>
              <w:jc w:val="center"/>
            </w:pPr>
            <w:r>
              <w:t>27</w:t>
            </w:r>
          </w:p>
        </w:tc>
        <w:tc>
          <w:tcPr>
            <w:tcW w:w="1246" w:type="dxa"/>
          </w:tcPr>
          <w:p w:rsidR="008748B3" w:rsidRDefault="008748B3" w:rsidP="008748B3">
            <w:pPr>
              <w:jc w:val="center"/>
            </w:pPr>
            <w:r>
              <w:t>9</w:t>
            </w:r>
          </w:p>
        </w:tc>
        <w:tc>
          <w:tcPr>
            <w:tcW w:w="1284" w:type="dxa"/>
          </w:tcPr>
          <w:p w:rsidR="008748B3" w:rsidRDefault="008748B3" w:rsidP="008748B3">
            <w:pPr>
              <w:jc w:val="center"/>
            </w:pPr>
            <w:r>
              <w:t>0</w:t>
            </w:r>
          </w:p>
        </w:tc>
        <w:tc>
          <w:tcPr>
            <w:tcW w:w="1099" w:type="dxa"/>
          </w:tcPr>
          <w:p w:rsidR="008748B3" w:rsidRDefault="008748B3" w:rsidP="008748B3">
            <w:pPr>
              <w:jc w:val="center"/>
            </w:pPr>
            <w:r>
              <w:t>13</w:t>
            </w:r>
          </w:p>
        </w:tc>
      </w:tr>
      <w:tr w:rsidR="008748B3" w:rsidTr="008748B3">
        <w:tc>
          <w:tcPr>
            <w:tcW w:w="1203" w:type="dxa"/>
          </w:tcPr>
          <w:p w:rsidR="008748B3" w:rsidRPr="004A75E0" w:rsidRDefault="008748B3" w:rsidP="008748B3">
            <w:pPr>
              <w:jc w:val="center"/>
              <w:rPr>
                <w:b/>
              </w:rPr>
            </w:pPr>
            <w:r w:rsidRPr="004A75E0">
              <w:rPr>
                <w:b/>
              </w:rPr>
              <w:t>RFE</w:t>
            </w:r>
          </w:p>
        </w:tc>
        <w:tc>
          <w:tcPr>
            <w:tcW w:w="1186" w:type="dxa"/>
          </w:tcPr>
          <w:p w:rsidR="008748B3" w:rsidRDefault="008748B3" w:rsidP="008748B3">
            <w:pPr>
              <w:jc w:val="center"/>
            </w:pPr>
            <w:r>
              <w:t>7</w:t>
            </w:r>
          </w:p>
        </w:tc>
        <w:tc>
          <w:tcPr>
            <w:tcW w:w="1186" w:type="dxa"/>
          </w:tcPr>
          <w:p w:rsidR="008748B3" w:rsidRDefault="008748B3" w:rsidP="008748B3">
            <w:pPr>
              <w:jc w:val="center"/>
            </w:pPr>
            <w:r>
              <w:t>1</w:t>
            </w:r>
          </w:p>
        </w:tc>
        <w:tc>
          <w:tcPr>
            <w:tcW w:w="1186" w:type="dxa"/>
          </w:tcPr>
          <w:p w:rsidR="008748B3" w:rsidRDefault="008748B3" w:rsidP="008748B3">
            <w:pPr>
              <w:jc w:val="center"/>
            </w:pPr>
            <w:r>
              <w:t>13</w:t>
            </w:r>
          </w:p>
        </w:tc>
        <w:tc>
          <w:tcPr>
            <w:tcW w:w="1186" w:type="dxa"/>
          </w:tcPr>
          <w:p w:rsidR="008748B3" w:rsidRDefault="008748B3" w:rsidP="008748B3">
            <w:pPr>
              <w:jc w:val="center"/>
            </w:pPr>
            <w:r>
              <w:t>2</w:t>
            </w:r>
          </w:p>
        </w:tc>
        <w:tc>
          <w:tcPr>
            <w:tcW w:w="1246" w:type="dxa"/>
          </w:tcPr>
          <w:p w:rsidR="008748B3" w:rsidRDefault="008748B3" w:rsidP="008748B3">
            <w:pPr>
              <w:jc w:val="center"/>
            </w:pPr>
            <w:r>
              <w:t>10</w:t>
            </w:r>
          </w:p>
        </w:tc>
        <w:tc>
          <w:tcPr>
            <w:tcW w:w="1284" w:type="dxa"/>
          </w:tcPr>
          <w:p w:rsidR="008748B3" w:rsidRDefault="008748B3" w:rsidP="008748B3">
            <w:pPr>
              <w:jc w:val="center"/>
            </w:pPr>
            <w:r>
              <w:t>0</w:t>
            </w:r>
          </w:p>
        </w:tc>
        <w:tc>
          <w:tcPr>
            <w:tcW w:w="1099" w:type="dxa"/>
          </w:tcPr>
          <w:p w:rsidR="008748B3" w:rsidRDefault="008748B3" w:rsidP="008748B3">
            <w:pPr>
              <w:jc w:val="center"/>
            </w:pPr>
            <w:r>
              <w:t>n/a</w:t>
            </w:r>
          </w:p>
        </w:tc>
      </w:tr>
    </w:tbl>
    <w:p w:rsidR="008D5576" w:rsidRPr="00A62524" w:rsidRDefault="00927E31" w:rsidP="008D5576">
      <w:pPr>
        <w:spacing w:after="0" w:line="240" w:lineRule="auto"/>
        <w:ind w:left="720"/>
        <w:jc w:val="both"/>
        <w:rPr>
          <w:b/>
        </w:rPr>
      </w:pPr>
      <w:r w:rsidRPr="00A62524">
        <w:rPr>
          <w:b/>
        </w:rPr>
        <w:t>#, type of inspections</w:t>
      </w:r>
      <w:r w:rsidR="008D5576">
        <w:rPr>
          <w:b/>
        </w:rPr>
        <w:t xml:space="preserve"> – report quarterly </w:t>
      </w:r>
    </w:p>
    <w:p w:rsidR="00927E31" w:rsidRPr="008D5576" w:rsidRDefault="00927E31" w:rsidP="008D5576">
      <w:pPr>
        <w:spacing w:after="0" w:line="240" w:lineRule="auto"/>
        <w:ind w:left="720"/>
        <w:jc w:val="both"/>
        <w:rPr>
          <w:b/>
        </w:rPr>
      </w:pPr>
      <w:r w:rsidRPr="00A62524">
        <w:rPr>
          <w:b/>
        </w:rPr>
        <w:t>#, type of violations (critical vs. non-critical, parameter violated, corrective action)</w:t>
      </w:r>
      <w:r w:rsidR="008D5576">
        <w:rPr>
          <w:b/>
        </w:rPr>
        <w:t xml:space="preserve"> – report quarterly</w:t>
      </w:r>
    </w:p>
    <w:p w:rsidR="008748B3" w:rsidRPr="00A62524" w:rsidRDefault="008748B3" w:rsidP="008D5576">
      <w:pPr>
        <w:spacing w:after="0" w:line="240" w:lineRule="auto"/>
        <w:ind w:left="720"/>
        <w:jc w:val="both"/>
        <w:rPr>
          <w:b/>
        </w:rPr>
      </w:pPr>
      <w:proofErr w:type="gramStart"/>
      <w:r w:rsidRPr="00A62524">
        <w:rPr>
          <w:b/>
        </w:rPr>
        <w:t>enforcement</w:t>
      </w:r>
      <w:proofErr w:type="gramEnd"/>
      <w:r w:rsidRPr="00A62524">
        <w:rPr>
          <w:b/>
        </w:rPr>
        <w:t xml:space="preserve"> action taken</w:t>
      </w:r>
      <w:r w:rsidR="008D5576">
        <w:rPr>
          <w:b/>
        </w:rPr>
        <w:t xml:space="preserve"> – report monthly</w:t>
      </w:r>
      <w:r w:rsidRPr="00A62524">
        <w:rPr>
          <w:b/>
        </w:rPr>
        <w:t xml:space="preserve"> </w:t>
      </w:r>
    </w:p>
    <w:p w:rsidR="004123B1" w:rsidRDefault="004123B1" w:rsidP="001249F3">
      <w:pPr>
        <w:spacing w:after="0" w:line="240" w:lineRule="auto"/>
        <w:jc w:val="both"/>
        <w:rPr>
          <w:i/>
        </w:rPr>
      </w:pPr>
      <w:r w:rsidRPr="00927E31">
        <w:rPr>
          <w:i/>
        </w:rPr>
        <w:t>Public Health Nuisances</w:t>
      </w:r>
    </w:p>
    <w:p w:rsidR="00927E31" w:rsidRDefault="00927E31" w:rsidP="001249F3">
      <w:pPr>
        <w:spacing w:after="0" w:line="240" w:lineRule="auto"/>
        <w:ind w:left="720"/>
        <w:jc w:val="both"/>
      </w:pPr>
      <w:r>
        <w:t>#, type of complaints</w:t>
      </w:r>
    </w:p>
    <w:p w:rsidR="00927E31" w:rsidRDefault="008A7519" w:rsidP="001249F3">
      <w:pPr>
        <w:spacing w:after="0" w:line="240" w:lineRule="auto"/>
        <w:ind w:left="720"/>
        <w:jc w:val="both"/>
      </w:pPr>
      <w:r>
        <w:t>#, type of inspections</w:t>
      </w:r>
    </w:p>
    <w:p w:rsidR="008A7519" w:rsidRDefault="008A7519" w:rsidP="001249F3">
      <w:pPr>
        <w:spacing w:after="0" w:line="240" w:lineRule="auto"/>
        <w:ind w:left="720"/>
        <w:jc w:val="both"/>
      </w:pPr>
      <w:proofErr w:type="gramStart"/>
      <w:r>
        <w:t>time</w:t>
      </w:r>
      <w:proofErr w:type="gramEnd"/>
      <w:r>
        <w:t xml:space="preserve"> frame &gt; complaint to 1</w:t>
      </w:r>
      <w:r w:rsidRPr="008A7519">
        <w:rPr>
          <w:vertAlign w:val="superscript"/>
        </w:rPr>
        <w:t>st</w:t>
      </w:r>
      <w:r>
        <w:t xml:space="preserve"> inspection</w:t>
      </w:r>
    </w:p>
    <w:p w:rsidR="008A7519" w:rsidRDefault="008A7519" w:rsidP="001249F3">
      <w:pPr>
        <w:spacing w:after="0" w:line="240" w:lineRule="auto"/>
        <w:ind w:left="720"/>
        <w:jc w:val="both"/>
      </w:pPr>
      <w:proofErr w:type="gramStart"/>
      <w:r>
        <w:t>time</w:t>
      </w:r>
      <w:proofErr w:type="gramEnd"/>
      <w:r>
        <w:t xml:space="preserve"> frame &gt; complaint to completion</w:t>
      </w:r>
    </w:p>
    <w:p w:rsidR="008A7519" w:rsidRDefault="008A7519" w:rsidP="001249F3">
      <w:pPr>
        <w:spacing w:after="0" w:line="240" w:lineRule="auto"/>
        <w:ind w:left="720"/>
        <w:jc w:val="both"/>
      </w:pPr>
      <w:proofErr w:type="gramStart"/>
      <w:r>
        <w:t>activities</w:t>
      </w:r>
      <w:proofErr w:type="gramEnd"/>
      <w:r>
        <w:t xml:space="preserve"> &gt; contacts: phone, e-mail, person; NOVs; court enforcement</w:t>
      </w:r>
    </w:p>
    <w:p w:rsidR="008A7519" w:rsidRPr="00927E31" w:rsidRDefault="008A7519" w:rsidP="001249F3">
      <w:pPr>
        <w:spacing w:after="0" w:line="240" w:lineRule="auto"/>
        <w:ind w:left="720"/>
        <w:jc w:val="both"/>
      </w:pPr>
      <w:proofErr w:type="gramStart"/>
      <w:r>
        <w:t>outcome</w:t>
      </w:r>
      <w:proofErr w:type="gramEnd"/>
    </w:p>
    <w:p w:rsidR="004123B1" w:rsidRDefault="004123B1" w:rsidP="001249F3">
      <w:pPr>
        <w:spacing w:after="0" w:line="240" w:lineRule="auto"/>
        <w:jc w:val="both"/>
        <w:rPr>
          <w:i/>
        </w:rPr>
      </w:pPr>
      <w:r w:rsidRPr="00927E31">
        <w:rPr>
          <w:i/>
        </w:rPr>
        <w:t>Public Swimming Pools</w:t>
      </w:r>
    </w:p>
    <w:p w:rsidR="00927E31" w:rsidRDefault="00927E31" w:rsidP="001249F3">
      <w:pPr>
        <w:spacing w:after="0" w:line="240" w:lineRule="auto"/>
        <w:ind w:left="720"/>
        <w:jc w:val="both"/>
      </w:pPr>
      <w:proofErr w:type="gramStart"/>
      <w:r>
        <w:t>cost</w:t>
      </w:r>
      <w:proofErr w:type="gramEnd"/>
      <w:r>
        <w:t xml:space="preserve"> analysis interval</w:t>
      </w:r>
    </w:p>
    <w:p w:rsidR="00927E31" w:rsidRDefault="00927E31" w:rsidP="001249F3">
      <w:pPr>
        <w:spacing w:after="0" w:line="240" w:lineRule="auto"/>
        <w:ind w:left="720"/>
        <w:jc w:val="both"/>
      </w:pPr>
      <w:proofErr w:type="gramStart"/>
      <w:r>
        <w:t>survey</w:t>
      </w:r>
      <w:proofErr w:type="gramEnd"/>
      <w:r>
        <w:t xml:space="preserve"> dates, intervals, status, deficiencies</w:t>
      </w:r>
    </w:p>
    <w:p w:rsidR="00927E31" w:rsidRDefault="00927E31" w:rsidP="001249F3">
      <w:pPr>
        <w:spacing w:after="0" w:line="240" w:lineRule="auto"/>
        <w:ind w:left="720"/>
        <w:jc w:val="both"/>
      </w:pPr>
      <w:proofErr w:type="gramStart"/>
      <w:r>
        <w:t>applications</w:t>
      </w:r>
      <w:proofErr w:type="gramEnd"/>
      <w:r>
        <w:t xml:space="preserve"> submitted on time, late fees </w:t>
      </w:r>
    </w:p>
    <w:p w:rsidR="00927E31" w:rsidRDefault="00927E31" w:rsidP="001249F3">
      <w:pPr>
        <w:spacing w:after="0" w:line="240" w:lineRule="auto"/>
        <w:ind w:left="720"/>
        <w:jc w:val="both"/>
      </w:pPr>
      <w:r>
        <w:t>#, type of facilities</w:t>
      </w:r>
    </w:p>
    <w:p w:rsidR="00927E31" w:rsidRDefault="00927E31" w:rsidP="001249F3">
      <w:pPr>
        <w:spacing w:after="0" w:line="240" w:lineRule="auto"/>
        <w:ind w:left="720"/>
        <w:jc w:val="both"/>
      </w:pPr>
      <w:r>
        <w:t>#, type of inspections</w:t>
      </w:r>
    </w:p>
    <w:p w:rsidR="00927E31" w:rsidRPr="00927E31" w:rsidRDefault="00927E31" w:rsidP="001249F3">
      <w:pPr>
        <w:spacing w:after="0" w:line="240" w:lineRule="auto"/>
        <w:ind w:left="720"/>
        <w:jc w:val="both"/>
      </w:pPr>
      <w:r>
        <w:lastRenderedPageBreak/>
        <w:t>#, type of violations (critical vs. non-critical, parameter violated, corrective action)</w:t>
      </w:r>
    </w:p>
    <w:p w:rsidR="004123B1" w:rsidRPr="00927E31" w:rsidRDefault="004123B1" w:rsidP="001249F3">
      <w:pPr>
        <w:spacing w:after="0" w:line="240" w:lineRule="auto"/>
        <w:jc w:val="both"/>
        <w:rPr>
          <w:i/>
        </w:rPr>
      </w:pPr>
      <w:r w:rsidRPr="00927E31">
        <w:rPr>
          <w:i/>
        </w:rPr>
        <w:t>Solid Waste</w:t>
      </w:r>
    </w:p>
    <w:p w:rsidR="00927E31" w:rsidRDefault="00927E31" w:rsidP="001249F3">
      <w:pPr>
        <w:spacing w:after="0" w:line="240" w:lineRule="auto"/>
        <w:ind w:left="720"/>
        <w:jc w:val="both"/>
      </w:pPr>
      <w:r>
        <w:t># of companies, trucks</w:t>
      </w:r>
    </w:p>
    <w:p w:rsidR="00927E31" w:rsidRDefault="00927E31" w:rsidP="001249F3">
      <w:pPr>
        <w:spacing w:after="0" w:line="240" w:lineRule="auto"/>
        <w:ind w:left="720"/>
        <w:jc w:val="both"/>
      </w:pPr>
      <w:r>
        <w:t>#, type of inspections</w:t>
      </w:r>
    </w:p>
    <w:p w:rsidR="00927E31" w:rsidRDefault="00927E31" w:rsidP="001249F3">
      <w:pPr>
        <w:spacing w:after="0" w:line="240" w:lineRule="auto"/>
        <w:ind w:left="720"/>
        <w:jc w:val="both"/>
      </w:pPr>
      <w:r>
        <w:t>#, type of violations</w:t>
      </w:r>
    </w:p>
    <w:p w:rsidR="00927E31" w:rsidRDefault="00927E31" w:rsidP="001249F3">
      <w:pPr>
        <w:spacing w:after="0" w:line="240" w:lineRule="auto"/>
        <w:ind w:left="720"/>
        <w:jc w:val="both"/>
      </w:pPr>
      <w:r>
        <w:t>#, type of complaints, action(s) taken</w:t>
      </w:r>
    </w:p>
    <w:p w:rsidR="00927E31" w:rsidRDefault="00927E31" w:rsidP="001249F3">
      <w:pPr>
        <w:spacing w:after="0" w:line="240" w:lineRule="auto"/>
        <w:jc w:val="both"/>
      </w:pPr>
    </w:p>
    <w:p w:rsidR="000559AE" w:rsidRDefault="000559AE" w:rsidP="001249F3">
      <w:pPr>
        <w:spacing w:after="0" w:line="240" w:lineRule="auto"/>
        <w:jc w:val="both"/>
      </w:pPr>
      <w:r>
        <w:rPr>
          <w:b/>
        </w:rPr>
        <w:t>Major Operational Issues</w:t>
      </w:r>
      <w:r>
        <w:t xml:space="preserve"> – </w:t>
      </w:r>
    </w:p>
    <w:p w:rsidR="000559AE" w:rsidRDefault="000559AE" w:rsidP="001249F3">
      <w:pPr>
        <w:spacing w:after="0" w:line="240" w:lineRule="auto"/>
        <w:jc w:val="both"/>
      </w:pPr>
    </w:p>
    <w:p w:rsidR="00834CFD" w:rsidRDefault="000559AE" w:rsidP="001249F3">
      <w:pPr>
        <w:spacing w:after="0" w:line="240" w:lineRule="auto"/>
        <w:jc w:val="both"/>
      </w:pPr>
      <w:r>
        <w:t xml:space="preserve">The </w:t>
      </w:r>
      <w:r w:rsidR="00834CFD">
        <w:t xml:space="preserve">Ohio </w:t>
      </w:r>
      <w:r w:rsidR="00B8760D">
        <w:t xml:space="preserve">Department of Agriculture retail food establishment program </w:t>
      </w:r>
      <w:r>
        <w:t>survey report advised Galion City Health Department’s program remains on the approved list</w:t>
      </w:r>
      <w:r w:rsidR="00B8760D">
        <w:t xml:space="preserve">, but that training and evaluating the food program sanitarian(s) is a provision </w:t>
      </w:r>
      <w:r w:rsidR="00834CFD">
        <w:t xml:space="preserve">that </w:t>
      </w:r>
      <w:r w:rsidR="00B8760D">
        <w:t>requir</w:t>
      </w:r>
      <w:r w:rsidR="00834CFD">
        <w:t>es</w:t>
      </w:r>
      <w:r w:rsidR="00B8760D">
        <w:t xml:space="preserve"> action. While Ms. Zmuda has taken advantage of classroom, conference, and online food safety training, there is no formal plan or requirement for the amount, type, and frequency of food safety training. </w:t>
      </w:r>
      <w:r w:rsidR="00834CFD">
        <w:t xml:space="preserve">A food safety training plan will be incorporated in the Workforce Development Plan to be created by the department in order to become accredited. In addition </w:t>
      </w:r>
      <w:r>
        <w:t xml:space="preserve">Ms. Zmuda </w:t>
      </w:r>
      <w:r w:rsidR="00B8760D">
        <w:t xml:space="preserve">would like to request permission to enter into an agreement with John </w:t>
      </w:r>
      <w:proofErr w:type="spellStart"/>
      <w:r w:rsidR="00B8760D">
        <w:t>Harbeck</w:t>
      </w:r>
      <w:proofErr w:type="spellEnd"/>
      <w:r w:rsidR="00B8760D">
        <w:t>, RS, Environmental Health Director at Shelby City Health Department</w:t>
      </w:r>
      <w:r w:rsidR="00834CFD">
        <w:t xml:space="preserve">, for a reciprocal relationship to </w:t>
      </w:r>
      <w:r>
        <w:t xml:space="preserve">fulfill the </w:t>
      </w:r>
      <w:r w:rsidR="00834CFD">
        <w:t xml:space="preserve">field training/evaluation </w:t>
      </w:r>
      <w:r>
        <w:t>requirement.</w:t>
      </w:r>
      <w:r w:rsidR="00834CFD">
        <w:t xml:space="preserve"> With the Board’s permission, a detailed draft agreement will be written and presented for approval at an upcoming meeting.   </w:t>
      </w:r>
      <w:r>
        <w:t xml:space="preserve"> </w:t>
      </w:r>
    </w:p>
    <w:p w:rsidR="00834CFD" w:rsidRDefault="00834CFD" w:rsidP="001249F3">
      <w:pPr>
        <w:spacing w:after="0" w:line="240" w:lineRule="auto"/>
        <w:jc w:val="both"/>
      </w:pPr>
    </w:p>
    <w:p w:rsidR="00B5432D" w:rsidRDefault="00834CFD" w:rsidP="001249F3">
      <w:pPr>
        <w:spacing w:after="0" w:line="240" w:lineRule="auto"/>
        <w:jc w:val="both"/>
      </w:pPr>
      <w:r>
        <w:t xml:space="preserve">A licensed </w:t>
      </w:r>
      <w:r w:rsidR="00C5571E">
        <w:t xml:space="preserve">Galion </w:t>
      </w:r>
      <w:r>
        <w:t>retail food facility was recently implicated</w:t>
      </w:r>
      <w:r w:rsidR="00C5571E">
        <w:t xml:space="preserve"> in a laboratory-confirmed case of </w:t>
      </w:r>
      <w:proofErr w:type="spellStart"/>
      <w:r w:rsidR="00170638">
        <w:t>listeriosis</w:t>
      </w:r>
      <w:proofErr w:type="spellEnd"/>
      <w:r w:rsidR="00170638">
        <w:t xml:space="preserve">. While circumstances made it impossible to determine causality—there was no remaining food to test, and the incubation period can be 1-70 days—the foodborne investigation revealed critical violations that may have lead to the illness. An administrative hearing was held on July 11 to address that and the facility’s history of failure to maintain operation in compliance with food code provisions. Company management has submitted weekly reports to detail corrective actions taken since the hearing.  </w:t>
      </w:r>
    </w:p>
    <w:p w:rsidR="00170638" w:rsidRDefault="00170638" w:rsidP="001249F3">
      <w:pPr>
        <w:spacing w:after="0" w:line="240" w:lineRule="auto"/>
        <w:jc w:val="both"/>
      </w:pPr>
    </w:p>
    <w:p w:rsidR="00571E03" w:rsidRDefault="00170638" w:rsidP="001249F3">
      <w:pPr>
        <w:spacing w:after="0" w:line="240" w:lineRule="auto"/>
        <w:jc w:val="both"/>
      </w:pPr>
      <w:r>
        <w:t>Ms. Zmuda is working with Mansfield-Ontario-Richland County Health Department and two large Galion food employers to offer food safety training to an estimated group of 45 workers.</w:t>
      </w:r>
    </w:p>
    <w:p w:rsidR="001224AC" w:rsidRDefault="001224AC" w:rsidP="001249F3">
      <w:pPr>
        <w:spacing w:after="0" w:line="240" w:lineRule="auto"/>
        <w:jc w:val="both"/>
      </w:pPr>
    </w:p>
    <w:p w:rsidR="00542399" w:rsidRDefault="00680EFF" w:rsidP="00542399">
      <w:pPr>
        <w:spacing w:after="0" w:line="240" w:lineRule="auto"/>
        <w:jc w:val="both"/>
      </w:pPr>
      <w:r>
        <w:t>Board of Health &amp; Health District Licensing Council –</w:t>
      </w:r>
      <w:r w:rsidR="001224AC">
        <w:t xml:space="preserve"> Terry Gribble has been a member of the Health District Licensing Council (HDLC) since being appointed by City Council on January 10, 2006. Mr. Gribble has served on the HDLC representing public swimming pools and has also been the </w:t>
      </w:r>
      <w:r w:rsidR="00100A4E">
        <w:t xml:space="preserve">appointed </w:t>
      </w:r>
      <w:r w:rsidR="001224AC">
        <w:t>Board of Health delegate</w:t>
      </w:r>
      <w:r w:rsidR="00100A4E">
        <w:t xml:space="preserve"> from among Council members</w:t>
      </w:r>
      <w:r w:rsidR="001224AC">
        <w:t xml:space="preserve">. </w:t>
      </w:r>
      <w:r w:rsidR="00542399">
        <w:t xml:space="preserve">The fact came to light recently </w:t>
      </w:r>
      <w:r>
        <w:t>that Terry Gribble resides outside</w:t>
      </w:r>
      <w:r w:rsidR="0078737A">
        <w:t xml:space="preserve"> </w:t>
      </w:r>
      <w:r w:rsidR="00542399">
        <w:t xml:space="preserve">city limits, which is also the boundary of the health district. In order to </w:t>
      </w:r>
      <w:r w:rsidR="00542399" w:rsidRPr="00542399">
        <w:t xml:space="preserve">be appointed </w:t>
      </w:r>
      <w:r w:rsidR="00542399">
        <w:t>and</w:t>
      </w:r>
      <w:r w:rsidR="00542399" w:rsidRPr="00542399">
        <w:t xml:space="preserve"> remain a</w:t>
      </w:r>
      <w:r w:rsidR="001224AC">
        <w:t xml:space="preserve"> </w:t>
      </w:r>
      <w:r w:rsidR="00542399" w:rsidRPr="00542399">
        <w:t>member</w:t>
      </w:r>
      <w:r w:rsidR="00542399">
        <w:t xml:space="preserve"> of the</w:t>
      </w:r>
      <w:r w:rsidR="00100A4E">
        <w:t xml:space="preserve"> HDLC</w:t>
      </w:r>
      <w:r w:rsidR="00542399" w:rsidRPr="00542399">
        <w:t xml:space="preserve">, an individual </w:t>
      </w:r>
      <w:r w:rsidR="00542399">
        <w:t>must</w:t>
      </w:r>
      <w:r w:rsidR="00542399" w:rsidRPr="00542399">
        <w:t xml:space="preserve"> be a </w:t>
      </w:r>
      <w:r w:rsidR="00542399">
        <w:t>resident</w:t>
      </w:r>
      <w:r w:rsidR="00542399" w:rsidRPr="00542399">
        <w:t xml:space="preserve"> of </w:t>
      </w:r>
      <w:r w:rsidR="00542399">
        <w:t>the</w:t>
      </w:r>
      <w:r w:rsidR="00542399" w:rsidRPr="00542399">
        <w:t xml:space="preserve"> health </w:t>
      </w:r>
      <w:r w:rsidR="00100A4E">
        <w:t>district, thus</w:t>
      </w:r>
      <w:r w:rsidR="00542399">
        <w:t xml:space="preserve"> Mr. Gribble is not eligible for continued membership on the council. Many thanks go to Mr. Gribble for his years of service on the </w:t>
      </w:r>
      <w:r w:rsidR="00100A4E">
        <w:t>council. In addition to the vacancy on the HDLC, Pamela Fellner’s resignation from the Board of Health in June leaves a vacancy on the Board of Health (BOH).</w:t>
      </w:r>
    </w:p>
    <w:p w:rsidR="001224AC" w:rsidRDefault="001224AC" w:rsidP="00542399">
      <w:pPr>
        <w:spacing w:after="0" w:line="240" w:lineRule="auto"/>
        <w:jc w:val="both"/>
      </w:pPr>
    </w:p>
    <w:p w:rsidR="001643EF" w:rsidRDefault="001643EF" w:rsidP="00542399">
      <w:pPr>
        <w:spacing w:after="0" w:line="240" w:lineRule="auto"/>
        <w:jc w:val="both"/>
      </w:pPr>
      <w:r>
        <w:t xml:space="preserve">Members </w:t>
      </w:r>
      <w:r w:rsidR="00100A4E">
        <w:t xml:space="preserve">of both the BOH and HDLC are appointed by the mayor and confirmed by City Council under the current form of government in Galion. There is no statutory residency requirement for the BOH, only the HDLC. </w:t>
      </w:r>
      <w:r w:rsidR="004C1347">
        <w:t xml:space="preserve">Members of </w:t>
      </w:r>
      <w:r>
        <w:t xml:space="preserve">the HDLC shall consist of one representative of each business activity for which the board of health operates a licensing program. Licensing programs currently in operation are food service operation, retail food establishment, public swimming pools, and solid waste haulers. Council members are Dan Beach of Wendy’s representing food service operations </w:t>
      </w:r>
      <w:r w:rsidR="004C1347">
        <w:t xml:space="preserve">(term expires 11/21/16) </w:t>
      </w:r>
      <w:r>
        <w:t xml:space="preserve">and Phil </w:t>
      </w:r>
      <w:proofErr w:type="spellStart"/>
      <w:r>
        <w:t>Schreck</w:t>
      </w:r>
      <w:proofErr w:type="spellEnd"/>
      <w:r>
        <w:t xml:space="preserve"> of Phil’s Deli representing retail food establishments</w:t>
      </w:r>
      <w:r w:rsidR="004C1347">
        <w:t xml:space="preserve"> (term expires 11/21/15)</w:t>
      </w:r>
      <w:r>
        <w:t>. Neither</w:t>
      </w:r>
      <w:r w:rsidR="001224AC">
        <w:t xml:space="preserve"> is interested in becoming the Board of Health delegate. There are no eligible candidates for the public swimming pool program and only one eligible individual in the solid waste hauler program.</w:t>
      </w:r>
      <w:r w:rsidR="00B8760D">
        <w:t xml:space="preserve"> Ms. Zmuda contacted Ohio Department of Health for guidance on the HDLC when there is a shortage of eligible candidates.  </w:t>
      </w:r>
      <w:r w:rsidR="001224AC">
        <w:t xml:space="preserve"> </w:t>
      </w:r>
      <w:r>
        <w:t xml:space="preserve">   </w:t>
      </w:r>
    </w:p>
    <w:sectPr w:rsidR="001643EF" w:rsidSect="00571E03">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CC6"/>
    <w:multiLevelType w:val="hybridMultilevel"/>
    <w:tmpl w:val="60563F04"/>
    <w:lvl w:ilvl="0" w:tplc="AA46B1F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6055E"/>
    <w:rsid w:val="000559AE"/>
    <w:rsid w:val="00092B18"/>
    <w:rsid w:val="000B4CE5"/>
    <w:rsid w:val="000D5B1E"/>
    <w:rsid w:val="000D7CF1"/>
    <w:rsid w:val="00100A4E"/>
    <w:rsid w:val="001224AC"/>
    <w:rsid w:val="001249F3"/>
    <w:rsid w:val="001643EF"/>
    <w:rsid w:val="00170638"/>
    <w:rsid w:val="001F1F0D"/>
    <w:rsid w:val="0026055E"/>
    <w:rsid w:val="004123B1"/>
    <w:rsid w:val="004C1347"/>
    <w:rsid w:val="00542399"/>
    <w:rsid w:val="005625B2"/>
    <w:rsid w:val="00571E03"/>
    <w:rsid w:val="0060276D"/>
    <w:rsid w:val="00680EFF"/>
    <w:rsid w:val="006B0701"/>
    <w:rsid w:val="0078737A"/>
    <w:rsid w:val="00834CFD"/>
    <w:rsid w:val="008748B3"/>
    <w:rsid w:val="008A7519"/>
    <w:rsid w:val="008D5576"/>
    <w:rsid w:val="008E2C6F"/>
    <w:rsid w:val="008E6F54"/>
    <w:rsid w:val="00927E31"/>
    <w:rsid w:val="00A62524"/>
    <w:rsid w:val="00A80C1A"/>
    <w:rsid w:val="00B5432D"/>
    <w:rsid w:val="00B8760D"/>
    <w:rsid w:val="00BA115C"/>
    <w:rsid w:val="00C5571E"/>
    <w:rsid w:val="00C60008"/>
    <w:rsid w:val="00F86F1B"/>
    <w:rsid w:val="00FC2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6D"/>
  </w:style>
  <w:style w:type="paragraph" w:styleId="Heading2">
    <w:name w:val="heading 2"/>
    <w:basedOn w:val="Normal"/>
    <w:next w:val="Normal"/>
    <w:link w:val="Heading2Char"/>
    <w:uiPriority w:val="9"/>
    <w:semiHidden/>
    <w:unhideWhenUsed/>
    <w:qFormat/>
    <w:rsid w:val="0026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05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055E"/>
    <w:rPr>
      <w:color w:val="0000FF" w:themeColor="hyperlink"/>
      <w:u w:val="single"/>
    </w:rPr>
  </w:style>
  <w:style w:type="paragraph" w:styleId="NormalWeb">
    <w:name w:val="Normal (Web)"/>
    <w:basedOn w:val="Normal"/>
    <w:uiPriority w:val="99"/>
    <w:semiHidden/>
    <w:unhideWhenUsed/>
    <w:rsid w:val="00FC2EB7"/>
    <w:rPr>
      <w:rFonts w:ascii="Times New Roman" w:hAnsi="Times New Roman" w:cs="Times New Roman"/>
      <w:sz w:val="24"/>
      <w:szCs w:val="24"/>
    </w:rPr>
  </w:style>
  <w:style w:type="paragraph" w:styleId="ListParagraph">
    <w:name w:val="List Paragraph"/>
    <w:basedOn w:val="Normal"/>
    <w:uiPriority w:val="34"/>
    <w:qFormat/>
    <w:rsid w:val="00FC2EB7"/>
    <w:pPr>
      <w:ind w:left="720"/>
      <w:contextualSpacing/>
    </w:pPr>
  </w:style>
  <w:style w:type="table" w:styleId="TableGrid">
    <w:name w:val="Table Grid"/>
    <w:basedOn w:val="TableNormal"/>
    <w:uiPriority w:val="59"/>
    <w:rsid w:val="0087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05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055E"/>
    <w:rPr>
      <w:color w:val="0000FF" w:themeColor="hyperlink"/>
      <w:u w:val="single"/>
    </w:rPr>
  </w:style>
  <w:style w:type="paragraph" w:styleId="NormalWeb">
    <w:name w:val="Normal (Web)"/>
    <w:basedOn w:val="Normal"/>
    <w:uiPriority w:val="99"/>
    <w:semiHidden/>
    <w:unhideWhenUsed/>
    <w:rsid w:val="00FC2EB7"/>
    <w:rPr>
      <w:rFonts w:ascii="Times New Roman" w:hAnsi="Times New Roman" w:cs="Times New Roman"/>
      <w:sz w:val="24"/>
      <w:szCs w:val="24"/>
    </w:rPr>
  </w:style>
  <w:style w:type="paragraph" w:styleId="ListParagraph">
    <w:name w:val="List Paragraph"/>
    <w:basedOn w:val="Normal"/>
    <w:uiPriority w:val="34"/>
    <w:qFormat/>
    <w:rsid w:val="00FC2EB7"/>
    <w:pPr>
      <w:ind w:left="720"/>
      <w:contextualSpacing/>
    </w:pPr>
  </w:style>
</w:styles>
</file>

<file path=word/webSettings.xml><?xml version="1.0" encoding="utf-8"?>
<w:webSettings xmlns:r="http://schemas.openxmlformats.org/officeDocument/2006/relationships" xmlns:w="http://schemas.openxmlformats.org/wordprocessingml/2006/main">
  <w:divs>
    <w:div w:id="222303495">
      <w:bodyDiv w:val="1"/>
      <w:marLeft w:val="0"/>
      <w:marRight w:val="0"/>
      <w:marTop w:val="0"/>
      <w:marBottom w:val="0"/>
      <w:divBdr>
        <w:top w:val="none" w:sz="0" w:space="0" w:color="auto"/>
        <w:left w:val="none" w:sz="0" w:space="0" w:color="auto"/>
        <w:bottom w:val="none" w:sz="0" w:space="0" w:color="auto"/>
        <w:right w:val="none" w:sz="0" w:space="0" w:color="auto"/>
      </w:divBdr>
    </w:div>
    <w:div w:id="367224202">
      <w:bodyDiv w:val="1"/>
      <w:marLeft w:val="0"/>
      <w:marRight w:val="0"/>
      <w:marTop w:val="0"/>
      <w:marBottom w:val="0"/>
      <w:divBdr>
        <w:top w:val="none" w:sz="0" w:space="0" w:color="auto"/>
        <w:left w:val="none" w:sz="0" w:space="0" w:color="auto"/>
        <w:bottom w:val="none" w:sz="0" w:space="0" w:color="auto"/>
        <w:right w:val="none" w:sz="0" w:space="0" w:color="auto"/>
      </w:divBdr>
    </w:div>
    <w:div w:id="685131943">
      <w:bodyDiv w:val="1"/>
      <w:marLeft w:val="0"/>
      <w:marRight w:val="0"/>
      <w:marTop w:val="0"/>
      <w:marBottom w:val="0"/>
      <w:divBdr>
        <w:top w:val="none" w:sz="0" w:space="0" w:color="auto"/>
        <w:left w:val="none" w:sz="0" w:space="0" w:color="auto"/>
        <w:bottom w:val="none" w:sz="0" w:space="0" w:color="auto"/>
        <w:right w:val="none" w:sz="0" w:space="0" w:color="auto"/>
      </w:divBdr>
    </w:div>
    <w:div w:id="1288855037">
      <w:bodyDiv w:val="1"/>
      <w:marLeft w:val="0"/>
      <w:marRight w:val="0"/>
      <w:marTop w:val="0"/>
      <w:marBottom w:val="0"/>
      <w:divBdr>
        <w:top w:val="none" w:sz="0" w:space="0" w:color="auto"/>
        <w:left w:val="none" w:sz="0" w:space="0" w:color="auto"/>
        <w:bottom w:val="none" w:sz="0" w:space="0" w:color="auto"/>
        <w:right w:val="none" w:sz="0" w:space="0" w:color="auto"/>
      </w:divBdr>
    </w:div>
    <w:div w:id="1416436670">
      <w:bodyDiv w:val="1"/>
      <w:marLeft w:val="0"/>
      <w:marRight w:val="0"/>
      <w:marTop w:val="0"/>
      <w:marBottom w:val="0"/>
      <w:divBdr>
        <w:top w:val="none" w:sz="0" w:space="0" w:color="auto"/>
        <w:left w:val="none" w:sz="0" w:space="0" w:color="auto"/>
        <w:bottom w:val="none" w:sz="0" w:space="0" w:color="auto"/>
        <w:right w:val="none" w:sz="0" w:space="0" w:color="auto"/>
      </w:divBdr>
    </w:div>
    <w:div w:id="1519193966">
      <w:bodyDiv w:val="1"/>
      <w:marLeft w:val="0"/>
      <w:marRight w:val="0"/>
      <w:marTop w:val="0"/>
      <w:marBottom w:val="0"/>
      <w:divBdr>
        <w:top w:val="none" w:sz="0" w:space="0" w:color="auto"/>
        <w:left w:val="none" w:sz="0" w:space="0" w:color="auto"/>
        <w:bottom w:val="none" w:sz="0" w:space="0" w:color="auto"/>
        <w:right w:val="none" w:sz="0" w:space="0" w:color="auto"/>
      </w:divBdr>
    </w:div>
    <w:div w:id="18098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CA70B-9530-4B69-8BBF-6E3C6C90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Stephen.Novack</cp:lastModifiedBy>
  <cp:revision>2</cp:revision>
  <dcterms:created xsi:type="dcterms:W3CDTF">2013-08-09T00:33:00Z</dcterms:created>
  <dcterms:modified xsi:type="dcterms:W3CDTF">2013-08-09T00:33:00Z</dcterms:modified>
</cp:coreProperties>
</file>