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3941E" w14:textId="77777777" w:rsidR="009630B8" w:rsidRDefault="00A262A3">
      <w:pPr>
        <w:pStyle w:val="BodyText"/>
        <w:spacing w:before="52"/>
        <w:ind w:left="0"/>
        <w:rPr>
          <w:rFonts w:ascii="Times New Roman"/>
          <w:b w:val="0"/>
        </w:rPr>
      </w:pPr>
      <w:r>
        <w:rPr>
          <w:noProof/>
        </w:rPr>
        <w:drawing>
          <wp:anchor distT="0" distB="0" distL="0" distR="0" simplePos="0" relativeHeight="15728640" behindDoc="0" locked="0" layoutInCell="1" allowOverlap="1" wp14:anchorId="1C77EF6C" wp14:editId="4028B3FD">
            <wp:simplePos x="0" y="0"/>
            <wp:positionH relativeFrom="page">
              <wp:posOffset>616168</wp:posOffset>
            </wp:positionH>
            <wp:positionV relativeFrom="page">
              <wp:posOffset>369612</wp:posOffset>
            </wp:positionV>
            <wp:extent cx="946544" cy="426288"/>
            <wp:effectExtent l="0" t="0" r="0" b="0"/>
            <wp:wrapNone/>
            <wp:docPr id="1" name="Image 1"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Logo"/>
                    <pic:cNvPicPr/>
                  </pic:nvPicPr>
                  <pic:blipFill>
                    <a:blip r:embed="rId5" cstate="print"/>
                    <a:stretch>
                      <a:fillRect/>
                    </a:stretch>
                  </pic:blipFill>
                  <pic:spPr>
                    <a:xfrm>
                      <a:off x="0" y="0"/>
                      <a:ext cx="946544" cy="426288"/>
                    </a:xfrm>
                    <a:prstGeom prst="rect">
                      <a:avLst/>
                    </a:prstGeom>
                  </pic:spPr>
                </pic:pic>
              </a:graphicData>
            </a:graphic>
          </wp:anchor>
        </w:drawing>
      </w:r>
      <w:r>
        <w:rPr>
          <w:noProof/>
        </w:rPr>
        <mc:AlternateContent>
          <mc:Choice Requires="wps">
            <w:drawing>
              <wp:anchor distT="0" distB="0" distL="0" distR="0" simplePos="0" relativeHeight="15729152" behindDoc="0" locked="0" layoutInCell="1" allowOverlap="1" wp14:anchorId="748DBBC3" wp14:editId="7C691349">
                <wp:simplePos x="0" y="0"/>
                <wp:positionH relativeFrom="page">
                  <wp:posOffset>281304</wp:posOffset>
                </wp:positionH>
                <wp:positionV relativeFrom="page">
                  <wp:posOffset>857250</wp:posOffset>
                </wp:positionV>
                <wp:extent cx="7209155" cy="98425"/>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9155" cy="98425"/>
                        </a:xfrm>
                        <a:custGeom>
                          <a:avLst/>
                          <a:gdLst/>
                          <a:ahLst/>
                          <a:cxnLst/>
                          <a:rect l="l" t="t" r="r" b="b"/>
                          <a:pathLst>
                            <a:path w="7209155" h="98425">
                              <a:moveTo>
                                <a:pt x="7209155" y="0"/>
                              </a:moveTo>
                              <a:lnTo>
                                <a:pt x="0" y="0"/>
                              </a:lnTo>
                              <a:lnTo>
                                <a:pt x="0" y="98425"/>
                              </a:lnTo>
                              <a:lnTo>
                                <a:pt x="7209155" y="98425"/>
                              </a:lnTo>
                              <a:lnTo>
                                <a:pt x="7209155" y="0"/>
                              </a:lnTo>
                              <a:close/>
                            </a:path>
                          </a:pathLst>
                        </a:custGeom>
                        <a:solidFill>
                          <a:srgbClr val="5BC4BE"/>
                        </a:solidFill>
                      </wps:spPr>
                      <wps:bodyPr wrap="square" lIns="0" tIns="0" rIns="0" bIns="0" rtlCol="0">
                        <a:prstTxWarp prst="textNoShape">
                          <a:avLst/>
                        </a:prstTxWarp>
                        <a:noAutofit/>
                      </wps:bodyPr>
                    </wps:wsp>
                  </a:graphicData>
                </a:graphic>
              </wp:anchor>
            </w:drawing>
          </mc:Choice>
          <mc:Fallback>
            <w:pict>
              <v:shape w14:anchorId="1E9F5AE4" id="Graphic 2" o:spid="_x0000_s1026" style="position:absolute;margin-left:22.15pt;margin-top:67.5pt;width:567.65pt;height:7.75pt;z-index:15729152;visibility:visible;mso-wrap-style:square;mso-wrap-distance-left:0;mso-wrap-distance-top:0;mso-wrap-distance-right:0;mso-wrap-distance-bottom:0;mso-position-horizontal:absolute;mso-position-horizontal-relative:page;mso-position-vertical:absolute;mso-position-vertical-relative:page;v-text-anchor:top" coordsize="7209155,98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" path="m7209155,l,,,98425r7209155,l7209155,xe" fillcolor="#5bc4be" stroked="f">
                <v:path arrowok="t"/>
                <w10:wrap anchorx="page" anchory="page"/>
              </v:shape>
            </w:pict>
          </mc:Fallback>
        </mc:AlternateContent>
      </w:r>
    </w:p>
    <w:p w14:paraId="4C2607E8" w14:textId="77777777" w:rsidR="009630B8" w:rsidRDefault="00A262A3">
      <w:pPr>
        <w:pStyle w:val="BodyText"/>
        <w:spacing w:before="0"/>
        <w:ind w:left="5198"/>
      </w:pPr>
      <w:r>
        <w:rPr>
          <w:color w:val="003C70"/>
        </w:rPr>
        <w:t>113</w:t>
      </w:r>
      <w:r>
        <w:rPr>
          <w:color w:val="003C70"/>
          <w:spacing w:val="-12"/>
        </w:rPr>
        <w:t xml:space="preserve"> </w:t>
      </w:r>
      <w:r>
        <w:rPr>
          <w:color w:val="003C70"/>
        </w:rPr>
        <w:t>Harding</w:t>
      </w:r>
      <w:r>
        <w:rPr>
          <w:color w:val="003C70"/>
          <w:spacing w:val="-11"/>
        </w:rPr>
        <w:t xml:space="preserve"> </w:t>
      </w:r>
      <w:r>
        <w:rPr>
          <w:color w:val="003C70"/>
        </w:rPr>
        <w:t>Way</w:t>
      </w:r>
      <w:r>
        <w:rPr>
          <w:color w:val="003C70"/>
          <w:spacing w:val="-11"/>
        </w:rPr>
        <w:t xml:space="preserve"> </w:t>
      </w:r>
      <w:r>
        <w:rPr>
          <w:color w:val="003C70"/>
        </w:rPr>
        <w:t>East Galion, Ohio 44833</w:t>
      </w:r>
    </w:p>
    <w:p w14:paraId="27514966" w14:textId="77777777" w:rsidR="00A262A3" w:rsidRDefault="00A262A3" w:rsidP="00A262A3">
      <w:pPr>
        <w:jc w:val="center"/>
        <w:rPr>
          <w:rFonts w:asciiTheme="minorHAnsi" w:eastAsiaTheme="minorHAnsi" w:hAnsiTheme="minorHAnsi" w:cstheme="minorBidi"/>
        </w:rPr>
      </w:pPr>
    </w:p>
    <w:p w14:paraId="1A179D03" w14:textId="77777777" w:rsidR="00A262A3" w:rsidRDefault="00A262A3" w:rsidP="00A262A3">
      <w:pPr>
        <w:jc w:val="center"/>
      </w:pPr>
    </w:p>
    <w:p w14:paraId="73E07E3D" w14:textId="77777777" w:rsidR="00A262A3" w:rsidRPr="00A262A3" w:rsidRDefault="00A262A3" w:rsidP="00E67A54">
      <w:pPr>
        <w:jc w:val="center"/>
        <w:rPr>
          <w:b/>
          <w:bCs/>
        </w:rPr>
      </w:pPr>
    </w:p>
    <w:p w14:paraId="39C53217" w14:textId="58D4C5F4" w:rsidR="002F6C31" w:rsidRPr="00E67A54" w:rsidRDefault="002F6C31" w:rsidP="00E67A54">
      <w:pPr>
        <w:pStyle w:val="BodyText"/>
        <w:jc w:val="center"/>
        <w:rPr>
          <w:sz w:val="28"/>
          <w:szCs w:val="28"/>
        </w:rPr>
      </w:pPr>
      <w:r w:rsidRPr="00E67A54">
        <w:rPr>
          <w:sz w:val="28"/>
          <w:szCs w:val="28"/>
        </w:rPr>
        <w:t>October 2024 BOH Updates</w:t>
      </w:r>
    </w:p>
    <w:p w14:paraId="5D1F7AB0" w14:textId="77777777" w:rsidR="002F6C31" w:rsidRPr="00E67A54" w:rsidRDefault="002F6C31" w:rsidP="00E67A54">
      <w:pPr>
        <w:pStyle w:val="BodyText"/>
        <w:jc w:val="center"/>
        <w:rPr>
          <w:sz w:val="28"/>
          <w:szCs w:val="28"/>
        </w:rPr>
      </w:pPr>
      <w:r w:rsidRPr="00E67A54">
        <w:rPr>
          <w:sz w:val="28"/>
          <w:szCs w:val="28"/>
        </w:rPr>
        <w:t>ST/HIV Prevention Grants</w:t>
      </w:r>
    </w:p>
    <w:p w14:paraId="1BB2A614" w14:textId="77777777" w:rsidR="002F6C31" w:rsidRDefault="002F6C31" w:rsidP="002F6C31">
      <w:pPr>
        <w:pStyle w:val="BodyText"/>
        <w:numPr>
          <w:ilvl w:val="0"/>
          <w:numId w:val="1"/>
        </w:numPr>
      </w:pPr>
      <w:r w:rsidRPr="00BB44E8">
        <w:t>Testing numbers have remained steady in Galion and in Marion.</w:t>
      </w:r>
    </w:p>
    <w:p w14:paraId="2398D4FA" w14:textId="044A0A76" w:rsidR="002F6C31" w:rsidRDefault="002F6C31" w:rsidP="002F6C31">
      <w:pPr>
        <w:pStyle w:val="BodyText"/>
        <w:ind w:left="1452"/>
      </w:pPr>
      <w:r>
        <w:t>21 in Marion, 36 in Galion</w:t>
      </w:r>
    </w:p>
    <w:p w14:paraId="453A66BE" w14:textId="63A3E91B" w:rsidR="002F6C31" w:rsidRPr="00BB44E8" w:rsidRDefault="002F6C31" w:rsidP="002F6C31">
      <w:pPr>
        <w:pStyle w:val="BodyText"/>
        <w:numPr>
          <w:ilvl w:val="0"/>
          <w:numId w:val="1"/>
        </w:numPr>
      </w:pPr>
      <w:r>
        <w:t>41</w:t>
      </w:r>
      <w:r w:rsidRPr="00BB44E8">
        <w:t xml:space="preserve"> active in-person </w:t>
      </w:r>
      <w:proofErr w:type="spellStart"/>
      <w:r w:rsidRPr="00BB44E8">
        <w:t>PrEP</w:t>
      </w:r>
      <w:proofErr w:type="spellEnd"/>
      <w:r w:rsidRPr="00BB44E8">
        <w:t xml:space="preserve"> clients at the end of</w:t>
      </w:r>
      <w:r>
        <w:t xml:space="preserve"> October</w:t>
      </w:r>
      <w:r w:rsidRPr="00BB44E8">
        <w:t xml:space="preserve"> 2024</w:t>
      </w:r>
    </w:p>
    <w:p w14:paraId="6C49D63D" w14:textId="5A0436D3" w:rsidR="002F6C31" w:rsidRDefault="002F6C31" w:rsidP="002F6C31">
      <w:pPr>
        <w:pStyle w:val="BodyText"/>
        <w:numPr>
          <w:ilvl w:val="0"/>
          <w:numId w:val="1"/>
        </w:numPr>
      </w:pPr>
      <w:r w:rsidRPr="00BB44E8">
        <w:t>2</w:t>
      </w:r>
      <w:r>
        <w:t>0</w:t>
      </w:r>
      <w:r w:rsidRPr="00BB44E8">
        <w:t xml:space="preserve"> DIS cases investigated during </w:t>
      </w:r>
      <w:r>
        <w:t>October 2024</w:t>
      </w:r>
    </w:p>
    <w:p w14:paraId="2B2084F5" w14:textId="5E3E5E60" w:rsidR="002F6C31" w:rsidRDefault="002F6C31" w:rsidP="002F6C31">
      <w:pPr>
        <w:pStyle w:val="BodyText"/>
        <w:numPr>
          <w:ilvl w:val="0"/>
          <w:numId w:val="1"/>
        </w:numPr>
      </w:pPr>
      <w:r>
        <w:t xml:space="preserve">Abby Volk, DIS completed phlebotomy training October 31, 2024.  </w:t>
      </w:r>
      <w:r w:rsidR="00766B11">
        <w:t xml:space="preserve">This is a requirement of the STI prevention grant, allowing her to draw blood to assist with syphilis and HIV diagnoses.  </w:t>
      </w:r>
    </w:p>
    <w:p w14:paraId="4242F9AC" w14:textId="704D2B4C" w:rsidR="002F6C31" w:rsidRDefault="002F6C31" w:rsidP="002F6C31">
      <w:pPr>
        <w:pStyle w:val="BodyText"/>
        <w:numPr>
          <w:ilvl w:val="0"/>
          <w:numId w:val="1"/>
        </w:numPr>
      </w:pPr>
      <w:r>
        <w:t xml:space="preserve">Three regional testing events (STI/HIV/Hep C) were held during October: First Steps Recovery (Marion Co.), Ashland Co. Jail, Huron Co. Health Dept./Satellite Clinic in Willard  </w:t>
      </w:r>
    </w:p>
    <w:p w14:paraId="1E7107C4" w14:textId="6CB42A31" w:rsidR="002F6C31" w:rsidRDefault="002F6C31" w:rsidP="002F6C31">
      <w:pPr>
        <w:pStyle w:val="BodyText"/>
        <w:numPr>
          <w:ilvl w:val="0"/>
          <w:numId w:val="1"/>
        </w:numPr>
      </w:pPr>
      <w:r>
        <w:t>Program staff attended the Transforming Care Conference in Columbus at The Ohio State University on October 10</w:t>
      </w:r>
      <w:r w:rsidRPr="002F6C31">
        <w:rPr>
          <w:vertAlign w:val="superscript"/>
        </w:rPr>
        <w:t>th</w:t>
      </w:r>
      <w:r>
        <w:t xml:space="preserve">.  This was sponsored by </w:t>
      </w:r>
      <w:proofErr w:type="spellStart"/>
      <w:r>
        <w:t>Equitas</w:t>
      </w:r>
      <w:proofErr w:type="spellEnd"/>
      <w:r>
        <w:t xml:space="preserve"> Health.  Topics included HIV care, HIV prevention, linkage to HIV care and inclusive programming.</w:t>
      </w:r>
    </w:p>
    <w:p w14:paraId="18EF3CBF" w14:textId="6078EEBC" w:rsidR="00E67A54" w:rsidRDefault="00E67A54" w:rsidP="002F6C31">
      <w:pPr>
        <w:pStyle w:val="BodyText"/>
        <w:numPr>
          <w:ilvl w:val="0"/>
          <w:numId w:val="1"/>
        </w:numPr>
      </w:pPr>
      <w:r>
        <w:t xml:space="preserve">Program staff attended the state-wide Ohio Department of Health STI Prevention team meeting on October 16 in Columbus.  This is held twice yearly.  </w:t>
      </w:r>
    </w:p>
    <w:p w14:paraId="2ACE9E1A" w14:textId="7A0E67B8" w:rsidR="00766B11" w:rsidRPr="00BB44E8" w:rsidRDefault="00766B11" w:rsidP="002F6C31">
      <w:pPr>
        <w:pStyle w:val="BodyText"/>
        <w:numPr>
          <w:ilvl w:val="0"/>
          <w:numId w:val="1"/>
        </w:numPr>
      </w:pPr>
      <w:r>
        <w:t xml:space="preserve">Prevention supplies were </w:t>
      </w:r>
      <w:r w:rsidR="00E67A54">
        <w:t>distributed</w:t>
      </w:r>
      <w:r>
        <w:t xml:space="preserve"> to Crawford County Public Health and Wyandot County Public Health Departments</w:t>
      </w:r>
      <w:r w:rsidR="00E67A54">
        <w:t xml:space="preserve">.  These supplies include male and female (internal) condoms, lubricant, information on Aware home STI and HIV test kits, and instructions for use.  These items, provided to our grant programs by the Ohio Department of Health, are used to stock harm reduction vending machines in each corresponding county.  </w:t>
      </w:r>
    </w:p>
    <w:p w14:paraId="71439A3B" w14:textId="77777777" w:rsidR="002F6C31" w:rsidRPr="00BB44E8" w:rsidRDefault="002F6C31" w:rsidP="002F6C31">
      <w:pPr>
        <w:pStyle w:val="BodyText"/>
        <w:numPr>
          <w:ilvl w:val="0"/>
          <w:numId w:val="1"/>
        </w:numPr>
      </w:pPr>
      <w:r w:rsidRPr="00BB44E8">
        <w:t xml:space="preserve">The next Region 2 Galion Community Planning Group (HIV Prevention) meeting is </w:t>
      </w:r>
      <w:r>
        <w:t>Wednesday November 20</w:t>
      </w:r>
      <w:r w:rsidRPr="00BB44E8">
        <w:rPr>
          <w:vertAlign w:val="superscript"/>
        </w:rPr>
        <w:t>th</w:t>
      </w:r>
      <w:r w:rsidRPr="00BB44E8">
        <w:t xml:space="preserve"> from </w:t>
      </w:r>
      <w:r>
        <w:t>2-4 PM</w:t>
      </w:r>
      <w:r w:rsidRPr="00BB44E8">
        <w:t xml:space="preserve">, OSU Mansfield, </w:t>
      </w:r>
      <w:r>
        <w:t xml:space="preserve">120 </w:t>
      </w:r>
      <w:proofErr w:type="spellStart"/>
      <w:r>
        <w:t>Ovalwood</w:t>
      </w:r>
      <w:proofErr w:type="spellEnd"/>
      <w:r>
        <w:t xml:space="preserve"> Hall</w:t>
      </w:r>
      <w:r w:rsidRPr="00BB44E8">
        <w:t xml:space="preserve">.  We continue to look at ways to improve services.  If anyone would like to be a part of this group, please email myself, Sarah Miley, </w:t>
      </w:r>
      <w:hyperlink r:id="rId6" w:history="1">
        <w:r w:rsidRPr="00BB44E8">
          <w:rPr>
            <w:rStyle w:val="Hyperlink"/>
          </w:rPr>
          <w:t>sarah.miley@galionhealth.org</w:t>
        </w:r>
      </w:hyperlink>
      <w:r w:rsidRPr="00BB44E8">
        <w:t xml:space="preserve"> or Christina O’Millian at </w:t>
      </w:r>
      <w:hyperlink r:id="rId7" w:history="1">
        <w:r w:rsidRPr="00BB44E8">
          <w:rPr>
            <w:rStyle w:val="Hyperlink"/>
          </w:rPr>
          <w:t>omillianc@thirdstreetfamily.org</w:t>
        </w:r>
      </w:hyperlink>
      <w:r w:rsidRPr="00BB44E8">
        <w:t xml:space="preserve">.  </w:t>
      </w:r>
    </w:p>
    <w:p w14:paraId="4980B3D5" w14:textId="77777777" w:rsidR="002F6C31" w:rsidRPr="00BB44E8" w:rsidRDefault="002F6C31" w:rsidP="002F6C31">
      <w:pPr>
        <w:pStyle w:val="BodyText"/>
      </w:pPr>
    </w:p>
    <w:p w14:paraId="697FC985" w14:textId="77777777" w:rsidR="002F6C31" w:rsidRPr="00BB44E8" w:rsidRDefault="002F6C31" w:rsidP="002F6C31">
      <w:pPr>
        <w:pStyle w:val="BodyText"/>
      </w:pPr>
    </w:p>
    <w:p w14:paraId="6662D6AB" w14:textId="77777777" w:rsidR="002F6C31" w:rsidRPr="00BB44E8" w:rsidRDefault="002F6C31" w:rsidP="002F6C31">
      <w:pPr>
        <w:pStyle w:val="BodyText"/>
        <w:spacing w:before="32"/>
      </w:pPr>
      <w:r w:rsidRPr="00BB44E8">
        <w:t>Respectfully Submitted,</w:t>
      </w:r>
    </w:p>
    <w:p w14:paraId="78D258C7" w14:textId="77777777" w:rsidR="002F6C31" w:rsidRPr="00BB44E8" w:rsidRDefault="002F6C31" w:rsidP="002F6C31">
      <w:pPr>
        <w:pStyle w:val="BodyText"/>
        <w:spacing w:before="32"/>
      </w:pPr>
      <w:r w:rsidRPr="00BB44E8">
        <w:t>Sarah Miley APRN-CNP</w:t>
      </w:r>
    </w:p>
    <w:p w14:paraId="38A4B165" w14:textId="77777777" w:rsidR="002F6C31" w:rsidRPr="00BB44E8" w:rsidRDefault="002F6C31" w:rsidP="002F6C31">
      <w:pPr>
        <w:pStyle w:val="BodyText"/>
        <w:spacing w:before="32"/>
      </w:pPr>
      <w:r w:rsidRPr="00BB44E8">
        <w:t xml:space="preserve">STI &amp; HIV Prevention Program Coordinator </w:t>
      </w:r>
    </w:p>
    <w:p w14:paraId="6A0A3448" w14:textId="77777777" w:rsidR="009630B8" w:rsidRDefault="00A262A3">
      <w:pPr>
        <w:pStyle w:val="BodyText"/>
        <w:spacing w:before="32"/>
      </w:pPr>
      <w:r>
        <w:rPr>
          <w:b w:val="0"/>
        </w:rPr>
        <w:br w:type="column"/>
      </w:r>
      <w:proofErr w:type="gramStart"/>
      <w:r>
        <w:rPr>
          <w:color w:val="003C70"/>
        </w:rPr>
        <w:t>Phone</w:t>
      </w:r>
      <w:r>
        <w:rPr>
          <w:color w:val="003C70"/>
          <w:spacing w:val="46"/>
        </w:rPr>
        <w:t xml:space="preserve">  </w:t>
      </w:r>
      <w:r>
        <w:rPr>
          <w:color w:val="003C70"/>
          <w:spacing w:val="-2"/>
        </w:rPr>
        <w:t>419.468.1075</w:t>
      </w:r>
      <w:proofErr w:type="gramEnd"/>
    </w:p>
    <w:p w14:paraId="2484A8AA" w14:textId="77777777" w:rsidR="009630B8" w:rsidRDefault="00A262A3">
      <w:pPr>
        <w:pStyle w:val="BodyText"/>
        <w:tabs>
          <w:tab w:val="left" w:pos="1452"/>
        </w:tabs>
      </w:pPr>
      <w:r>
        <w:rPr>
          <w:color w:val="003C70"/>
          <w:spacing w:val="-5"/>
        </w:rPr>
        <w:t>Fax</w:t>
      </w:r>
      <w:r>
        <w:rPr>
          <w:color w:val="003C70"/>
        </w:rPr>
        <w:tab/>
      </w:r>
      <w:r>
        <w:rPr>
          <w:color w:val="003C70"/>
          <w:spacing w:val="-2"/>
        </w:rPr>
        <w:t>419.468.8618</w:t>
      </w:r>
    </w:p>
    <w:p w14:paraId="10475AED" w14:textId="77777777" w:rsidR="009630B8" w:rsidRDefault="00A262A3">
      <w:pPr>
        <w:pStyle w:val="BodyText"/>
      </w:pPr>
      <w:hyperlink r:id="rId8">
        <w:r>
          <w:rPr>
            <w:color w:val="003C70"/>
            <w:spacing w:val="-2"/>
          </w:rPr>
          <w:t>www.galionhealth.org</w:t>
        </w:r>
      </w:hyperlink>
    </w:p>
    <w:sectPr w:rsidR="009630B8">
      <w:type w:val="continuous"/>
      <w:pgSz w:w="12240" w:h="15840"/>
      <w:pgMar w:top="540" w:right="760" w:bottom="280" w:left="1720" w:header="720" w:footer="720" w:gutter="0"/>
      <w:cols w:num="2" w:space="720" w:equalWidth="0">
        <w:col w:w="7009" w:space="40"/>
        <w:col w:w="271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A348C"/>
    <w:multiLevelType w:val="hybridMultilevel"/>
    <w:tmpl w:val="592AFB0A"/>
    <w:lvl w:ilvl="0" w:tplc="04090001">
      <w:start w:val="1"/>
      <w:numFmt w:val="bullet"/>
      <w:lvlText w:val=""/>
      <w:lvlJc w:val="left"/>
      <w:pPr>
        <w:ind w:left="1452" w:hanging="360"/>
      </w:pPr>
      <w:rPr>
        <w:rFonts w:ascii="Symbol" w:hAnsi="Symbol" w:hint="default"/>
      </w:rPr>
    </w:lvl>
    <w:lvl w:ilvl="1" w:tplc="04090003">
      <w:start w:val="1"/>
      <w:numFmt w:val="bullet"/>
      <w:lvlText w:val="o"/>
      <w:lvlJc w:val="left"/>
      <w:pPr>
        <w:ind w:left="2172" w:hanging="360"/>
      </w:pPr>
      <w:rPr>
        <w:rFonts w:ascii="Courier New" w:hAnsi="Courier New" w:cs="Courier New" w:hint="default"/>
      </w:rPr>
    </w:lvl>
    <w:lvl w:ilvl="2" w:tplc="04090005">
      <w:start w:val="1"/>
      <w:numFmt w:val="bullet"/>
      <w:lvlText w:val=""/>
      <w:lvlJc w:val="left"/>
      <w:pPr>
        <w:ind w:left="2892" w:hanging="360"/>
      </w:pPr>
      <w:rPr>
        <w:rFonts w:ascii="Wingdings" w:hAnsi="Wingdings" w:hint="default"/>
      </w:rPr>
    </w:lvl>
    <w:lvl w:ilvl="3" w:tplc="04090001">
      <w:start w:val="1"/>
      <w:numFmt w:val="bullet"/>
      <w:lvlText w:val=""/>
      <w:lvlJc w:val="left"/>
      <w:pPr>
        <w:ind w:left="3612" w:hanging="360"/>
      </w:pPr>
      <w:rPr>
        <w:rFonts w:ascii="Symbol" w:hAnsi="Symbol" w:hint="default"/>
      </w:rPr>
    </w:lvl>
    <w:lvl w:ilvl="4" w:tplc="04090003">
      <w:start w:val="1"/>
      <w:numFmt w:val="bullet"/>
      <w:lvlText w:val="o"/>
      <w:lvlJc w:val="left"/>
      <w:pPr>
        <w:ind w:left="4332" w:hanging="360"/>
      </w:pPr>
      <w:rPr>
        <w:rFonts w:ascii="Courier New" w:hAnsi="Courier New" w:cs="Courier New" w:hint="default"/>
      </w:rPr>
    </w:lvl>
    <w:lvl w:ilvl="5" w:tplc="04090005">
      <w:start w:val="1"/>
      <w:numFmt w:val="bullet"/>
      <w:lvlText w:val=""/>
      <w:lvlJc w:val="left"/>
      <w:pPr>
        <w:ind w:left="5052" w:hanging="360"/>
      </w:pPr>
      <w:rPr>
        <w:rFonts w:ascii="Wingdings" w:hAnsi="Wingdings" w:hint="default"/>
      </w:rPr>
    </w:lvl>
    <w:lvl w:ilvl="6" w:tplc="04090001">
      <w:start w:val="1"/>
      <w:numFmt w:val="bullet"/>
      <w:lvlText w:val=""/>
      <w:lvlJc w:val="left"/>
      <w:pPr>
        <w:ind w:left="5772" w:hanging="360"/>
      </w:pPr>
      <w:rPr>
        <w:rFonts w:ascii="Symbol" w:hAnsi="Symbol" w:hint="default"/>
      </w:rPr>
    </w:lvl>
    <w:lvl w:ilvl="7" w:tplc="04090003">
      <w:start w:val="1"/>
      <w:numFmt w:val="bullet"/>
      <w:lvlText w:val="o"/>
      <w:lvlJc w:val="left"/>
      <w:pPr>
        <w:ind w:left="6492" w:hanging="360"/>
      </w:pPr>
      <w:rPr>
        <w:rFonts w:ascii="Courier New" w:hAnsi="Courier New" w:cs="Courier New" w:hint="default"/>
      </w:rPr>
    </w:lvl>
    <w:lvl w:ilvl="8" w:tplc="04090005">
      <w:start w:val="1"/>
      <w:numFmt w:val="bullet"/>
      <w:lvlText w:val=""/>
      <w:lvlJc w:val="left"/>
      <w:pPr>
        <w:ind w:left="7212" w:hanging="360"/>
      </w:pPr>
      <w:rPr>
        <w:rFonts w:ascii="Wingdings" w:hAnsi="Wingdings" w:hint="default"/>
      </w:rPr>
    </w:lvl>
  </w:abstractNum>
  <w:num w:numId="1" w16cid:durableId="467478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0B8"/>
    <w:rsid w:val="002F6C31"/>
    <w:rsid w:val="00445209"/>
    <w:rsid w:val="00527A56"/>
    <w:rsid w:val="00626ED5"/>
    <w:rsid w:val="00766B11"/>
    <w:rsid w:val="009630B8"/>
    <w:rsid w:val="00A262A3"/>
    <w:rsid w:val="00BE2F8F"/>
    <w:rsid w:val="00E67A54"/>
    <w:rsid w:val="00F4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1874D"/>
  <w15:docId w15:val="{076F2C48-444B-4557-8723-6685E7944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ind w:left="732"/>
    </w:pPr>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2F6C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53864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alionhealth.org/" TargetMode="External"/><Relationship Id="rId3" Type="http://schemas.openxmlformats.org/officeDocument/2006/relationships/settings" Target="settings.xml"/><Relationship Id="rId7" Type="http://schemas.openxmlformats.org/officeDocument/2006/relationships/hyperlink" Target="mailto:omillianc@thirdstreetfamil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rah.miley@galionhealth.or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1824</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olivia.roston</dc:creator>
  <cp:lastModifiedBy>Andrea Barnes</cp:lastModifiedBy>
  <cp:revision>2</cp:revision>
  <dcterms:created xsi:type="dcterms:W3CDTF">2024-10-31T19:51:00Z</dcterms:created>
  <dcterms:modified xsi:type="dcterms:W3CDTF">2024-10-31T19:51:00Z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2015-03-12T00:00:00Z</vt:filetime>
  </property>
  <property fmtid="{D5CDD505-2E9C-101B-9397-08002B2CF9AE}" pid="3" name="Creator">
    <vt:lpwstr>Microsoft® Office Word 2007</vt:lpwstr>
  </property>
  <property fmtid="{D5CDD505-2E9C-101B-9397-08002B2CF9AE}" pid="4" name="LastSaved">
    <vt:filetime>2024-07-25T00:00:00Z</vt:filetime>
  </property>
  <property fmtid="{D5CDD505-2E9C-101B-9397-08002B2CF9AE}" pid="5" name="Producer">
    <vt:lpwstr>Microsoft® Office Word 2007</vt:lpwstr>
  </property>
</Properties>
</file>